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529" w:rsidRPr="00102572" w:rsidRDefault="00102572">
      <w:pPr>
        <w:rPr>
          <w:sz w:val="48"/>
          <w:szCs w:val="48"/>
        </w:rPr>
      </w:pPr>
      <w:r w:rsidRPr="00102572">
        <w:rPr>
          <w:sz w:val="48"/>
          <w:szCs w:val="48"/>
          <w:highlight w:val="yellow"/>
        </w:rPr>
        <w:t>POST #1</w:t>
      </w:r>
      <w:r w:rsidRPr="00102572">
        <w:rPr>
          <w:sz w:val="48"/>
          <w:szCs w:val="48"/>
        </w:rPr>
        <w:t xml:space="preserve"> </w:t>
      </w:r>
    </w:p>
    <w:p w:rsidR="00102572" w:rsidRDefault="00102572"/>
    <w:p w:rsidR="00102572" w:rsidRPr="00102572" w:rsidRDefault="00102572" w:rsidP="00102572">
      <w:pPr>
        <w:shd w:val="clear" w:color="auto" w:fill="E6E6E6"/>
        <w:spacing w:after="0" w:line="240" w:lineRule="auto"/>
        <w:rPr>
          <w:rFonts w:ascii="Open Sans" w:eastAsia="Times New Roman" w:hAnsi="Open Sans" w:cs="Open Sans"/>
          <w:color w:val="000000"/>
          <w:sz w:val="19"/>
          <w:szCs w:val="19"/>
        </w:rPr>
      </w:pPr>
      <w:r w:rsidRPr="00102572">
        <w:rPr>
          <w:rFonts w:ascii="inherit" w:eastAsia="Times New Roman" w:hAnsi="inherit" w:cs="Open Sans"/>
          <w:b/>
          <w:bCs/>
          <w:color w:val="000000"/>
          <w:sz w:val="21"/>
          <w:szCs w:val="21"/>
          <w:bdr w:val="none" w:sz="0" w:space="0" w:color="auto" w:frame="1"/>
        </w:rPr>
        <w:t xml:space="preserve">Rick </w:t>
      </w:r>
      <w:proofErr w:type="spellStart"/>
      <w:r w:rsidRPr="00102572">
        <w:rPr>
          <w:rFonts w:ascii="inherit" w:eastAsia="Times New Roman" w:hAnsi="inherit" w:cs="Open Sans"/>
          <w:b/>
          <w:bCs/>
          <w:color w:val="000000"/>
          <w:sz w:val="21"/>
          <w:szCs w:val="21"/>
          <w:bdr w:val="none" w:sz="0" w:space="0" w:color="auto" w:frame="1"/>
        </w:rPr>
        <w:t>Rissetto</w:t>
      </w:r>
      <w:proofErr w:type="spellEnd"/>
      <w:r w:rsidRPr="00102572">
        <w:rPr>
          <w:rFonts w:ascii="inherit" w:eastAsia="Times New Roman" w:hAnsi="inherit" w:cs="Open Sans"/>
          <w:b/>
          <w:bCs/>
          <w:color w:val="000000"/>
          <w:sz w:val="21"/>
          <w:szCs w:val="21"/>
          <w:bdr w:val="none" w:sz="0" w:space="0" w:color="auto" w:frame="1"/>
        </w:rPr>
        <w:t> </w:t>
      </w:r>
    </w:p>
    <w:p w:rsidR="00102572" w:rsidRPr="00102572" w:rsidRDefault="00102572" w:rsidP="00102572">
      <w:pPr>
        <w:shd w:val="clear" w:color="auto" w:fill="E6E6E6"/>
        <w:spacing w:after="0" w:line="240" w:lineRule="auto"/>
        <w:rPr>
          <w:rFonts w:ascii="Open Sans" w:eastAsia="Times New Roman" w:hAnsi="Open Sans" w:cs="Open Sans"/>
          <w:b/>
          <w:bCs/>
          <w:color w:val="000000"/>
          <w:sz w:val="21"/>
          <w:szCs w:val="21"/>
        </w:rPr>
      </w:pPr>
      <w:r w:rsidRPr="00102572">
        <w:rPr>
          <w:rFonts w:ascii="inherit" w:eastAsia="Times New Roman" w:hAnsi="inherit" w:cs="Open Sans"/>
          <w:b/>
          <w:bCs/>
          <w:color w:val="000000"/>
          <w:sz w:val="21"/>
          <w:szCs w:val="21"/>
          <w:bdr w:val="none" w:sz="0" w:space="0" w:color="auto" w:frame="1"/>
        </w:rPr>
        <w:t>Discussion Board Two</w:t>
      </w:r>
      <w:r w:rsidRPr="00102572">
        <w:rPr>
          <w:rFonts w:ascii="Open Sans" w:eastAsia="Times New Roman" w:hAnsi="Open Sans" w:cs="Open Sans"/>
          <w:b/>
          <w:bCs/>
          <w:color w:val="000000"/>
          <w:sz w:val="21"/>
          <w:szCs w:val="21"/>
        </w:rPr>
        <w:t> </w:t>
      </w:r>
      <w:r w:rsidRPr="00102572">
        <w:rPr>
          <w:rFonts w:ascii="inherit" w:eastAsia="Times New Roman" w:hAnsi="inherit" w:cs="Open Sans"/>
          <w:b/>
          <w:bCs/>
          <w:noProof/>
          <w:color w:val="000000"/>
          <w:sz w:val="21"/>
          <w:szCs w:val="21"/>
          <w:bdr w:val="none" w:sz="0" w:space="0" w:color="auto" w:frame="1"/>
        </w:rPr>
        <w:drawing>
          <wp:inline distT="0" distB="0" distL="0" distR="0">
            <wp:extent cx="152400" cy="152400"/>
            <wp:effectExtent l="0" t="0" r="0" b="0"/>
            <wp:docPr id="1" name="Picture 1" descr="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achmen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102572" w:rsidRDefault="00102572" w:rsidP="00102572">
      <w:pPr>
        <w:pBdr>
          <w:bottom w:val="single" w:sz="6" w:space="1" w:color="auto"/>
        </w:pBdr>
        <w:spacing w:after="0" w:line="240" w:lineRule="auto"/>
        <w:jc w:val="center"/>
        <w:rPr>
          <w:rFonts w:ascii="Arial" w:eastAsia="Times New Roman" w:hAnsi="Arial" w:cs="Arial"/>
          <w:sz w:val="16"/>
          <w:szCs w:val="16"/>
        </w:rPr>
      </w:pPr>
    </w:p>
    <w:p w:rsidR="00102572" w:rsidRPr="00102572" w:rsidRDefault="00102572" w:rsidP="00102572">
      <w:pPr>
        <w:pBdr>
          <w:bottom w:val="single" w:sz="6" w:space="1" w:color="auto"/>
        </w:pBdr>
        <w:spacing w:after="0" w:line="240" w:lineRule="auto"/>
        <w:jc w:val="center"/>
        <w:rPr>
          <w:rFonts w:ascii="Arial" w:eastAsia="Times New Roman" w:hAnsi="Arial" w:cs="Arial"/>
          <w:vanish/>
          <w:sz w:val="16"/>
          <w:szCs w:val="16"/>
        </w:rPr>
      </w:pPr>
      <w:r w:rsidRPr="00102572">
        <w:rPr>
          <w:rFonts w:ascii="Arial" w:eastAsia="Times New Roman" w:hAnsi="Arial" w:cs="Arial"/>
          <w:vanish/>
          <w:sz w:val="16"/>
          <w:szCs w:val="16"/>
        </w:rPr>
        <w:t>Top of Form</w:t>
      </w:r>
    </w:p>
    <w:p w:rsidR="00102572" w:rsidRPr="00102572" w:rsidRDefault="00102572" w:rsidP="00102572">
      <w:pPr>
        <w:spacing w:after="0" w:line="390" w:lineRule="atLeast"/>
        <w:rPr>
          <w:rFonts w:ascii="inherit" w:eastAsia="Times New Roman" w:hAnsi="inherit" w:cs="Open Sans"/>
          <w:color w:val="000000"/>
          <w:sz w:val="20"/>
          <w:szCs w:val="20"/>
        </w:rPr>
      </w:pPr>
      <w:r w:rsidRPr="00102572">
        <w:rPr>
          <w:rFonts w:ascii="Times New Roman" w:eastAsia="Times New Roman" w:hAnsi="Times New Roman" w:cs="Times New Roman"/>
          <w:b/>
          <w:bCs/>
          <w:color w:val="000000"/>
          <w:sz w:val="20"/>
          <w:szCs w:val="20"/>
          <w:bdr w:val="none" w:sz="0" w:space="0" w:color="auto" w:frame="1"/>
        </w:rPr>
        <w:t>Advantages and Disadvantages to Setting the Direction of a Company’s Strategic Plan</w:t>
      </w:r>
      <w:r w:rsidRPr="00102572">
        <w:rPr>
          <w:rFonts w:ascii="Times New Roman" w:eastAsia="Times New Roman" w:hAnsi="Times New Roman" w:cs="Times New Roman"/>
          <w:color w:val="000000"/>
          <w:sz w:val="20"/>
          <w:szCs w:val="20"/>
          <w:bdr w:val="none" w:sz="0" w:space="0" w:color="auto" w:frame="1"/>
        </w:rPr>
        <w:t>        </w:t>
      </w:r>
    </w:p>
    <w:p w:rsidR="00102572" w:rsidRPr="00102572" w:rsidRDefault="00102572" w:rsidP="00102572">
      <w:pPr>
        <w:spacing w:after="0" w:line="390" w:lineRule="atLeast"/>
        <w:rPr>
          <w:rFonts w:ascii="inherit" w:eastAsia="Times New Roman" w:hAnsi="inherit" w:cs="Open Sans"/>
          <w:color w:val="000000"/>
          <w:sz w:val="20"/>
          <w:szCs w:val="20"/>
        </w:rPr>
      </w:pPr>
      <w:r w:rsidRPr="00102572">
        <w:rPr>
          <w:rFonts w:ascii="Times New Roman" w:eastAsia="Times New Roman" w:hAnsi="Times New Roman" w:cs="Times New Roman"/>
          <w:color w:val="000000"/>
          <w:sz w:val="20"/>
          <w:szCs w:val="20"/>
          <w:bdr w:val="none" w:sz="0" w:space="0" w:color="auto" w:frame="1"/>
        </w:rPr>
        <w:t>            Executives in the business world know firsthand that merely having a strategic plan of attack is at most half of the battle when it comes to building a successful company. The success of a strategic plan also is predicated on the execution of the strategic mission by a company’s chief operating brass. How a company decides to tackle its own operating strategy is key to the pace with which the company will grow or falter in its given industry. In this respect, it pays to get the order right of how the company will go about achieving the goals in its own strategic plan.</w:t>
      </w:r>
    </w:p>
    <w:p w:rsidR="00102572" w:rsidRPr="00102572" w:rsidRDefault="00102572" w:rsidP="00102572">
      <w:pPr>
        <w:spacing w:after="0" w:line="390" w:lineRule="atLeast"/>
        <w:rPr>
          <w:rFonts w:ascii="inherit" w:eastAsia="Times New Roman" w:hAnsi="inherit" w:cs="Open Sans"/>
          <w:color w:val="000000"/>
          <w:sz w:val="20"/>
          <w:szCs w:val="20"/>
        </w:rPr>
      </w:pPr>
      <w:r w:rsidRPr="00102572">
        <w:rPr>
          <w:rFonts w:ascii="Times New Roman" w:eastAsia="Times New Roman" w:hAnsi="Times New Roman" w:cs="Times New Roman"/>
          <w:b/>
          <w:bCs/>
          <w:color w:val="000000"/>
          <w:sz w:val="20"/>
          <w:szCs w:val="20"/>
          <w:bdr w:val="none" w:sz="0" w:space="0" w:color="auto" w:frame="1"/>
        </w:rPr>
        <w:t>Process: Setting the Company’s Direction</w:t>
      </w:r>
    </w:p>
    <w:p w:rsidR="00102572" w:rsidRPr="00102572" w:rsidRDefault="00102572" w:rsidP="00102572">
      <w:pPr>
        <w:spacing w:after="0" w:line="390" w:lineRule="atLeast"/>
        <w:rPr>
          <w:rFonts w:ascii="inherit" w:eastAsia="Times New Roman" w:hAnsi="inherit" w:cs="Open Sans"/>
          <w:color w:val="000000"/>
          <w:sz w:val="20"/>
          <w:szCs w:val="20"/>
        </w:rPr>
      </w:pPr>
      <w:r w:rsidRPr="00102572">
        <w:rPr>
          <w:rFonts w:ascii="Times New Roman" w:eastAsia="Times New Roman" w:hAnsi="Times New Roman" w:cs="Times New Roman"/>
          <w:color w:val="000000"/>
          <w:sz w:val="20"/>
          <w:szCs w:val="20"/>
          <w:bdr w:val="none" w:sz="0" w:space="0" w:color="auto" w:frame="1"/>
        </w:rPr>
        <w:t xml:space="preserve">            Gamble et al. (2019) write about five stages of how a company crafts a strategic vision. Included in these stages are the development of a strategic vision, setting objectives, crafting a strategy, the implementation and execution of that strategy, and evaluating and analyzing the external environment and internal performance of the company (p. 15). Arguably, implementing and executing a strategy is a process that demands the most time and </w:t>
      </w:r>
      <w:proofErr w:type="gramStart"/>
      <w:r w:rsidRPr="00102572">
        <w:rPr>
          <w:rFonts w:ascii="Times New Roman" w:eastAsia="Times New Roman" w:hAnsi="Times New Roman" w:cs="Times New Roman"/>
          <w:color w:val="000000"/>
          <w:sz w:val="20"/>
          <w:szCs w:val="20"/>
          <w:bdr w:val="none" w:sz="0" w:space="0" w:color="auto" w:frame="1"/>
        </w:rPr>
        <w:t>attention</w:t>
      </w:r>
      <w:proofErr w:type="gramEnd"/>
      <w:r w:rsidRPr="00102572">
        <w:rPr>
          <w:rFonts w:ascii="Times New Roman" w:eastAsia="Times New Roman" w:hAnsi="Times New Roman" w:cs="Times New Roman"/>
          <w:color w:val="000000"/>
          <w:sz w:val="20"/>
          <w:szCs w:val="20"/>
          <w:bdr w:val="none" w:sz="0" w:space="0" w:color="auto" w:frame="1"/>
        </w:rPr>
        <w:t>. Ideas themselves are simply plans that have not been yet put into action, yet a company benefits when the plans are executed in a sound and efficient manner. Lawlor (2010) notes that the strategic plan is a “living document” that must continually be updated and changed to reflect continuously changing cultures and environments especially as it relates to how the business continues to further its plan moving forward (p. 77).</w:t>
      </w:r>
    </w:p>
    <w:p w:rsidR="00102572" w:rsidRPr="00102572" w:rsidRDefault="00102572" w:rsidP="00102572">
      <w:pPr>
        <w:spacing w:after="0" w:line="390" w:lineRule="atLeast"/>
        <w:rPr>
          <w:rFonts w:ascii="inherit" w:eastAsia="Times New Roman" w:hAnsi="inherit" w:cs="Open Sans"/>
          <w:color w:val="000000"/>
          <w:sz w:val="20"/>
          <w:szCs w:val="20"/>
        </w:rPr>
      </w:pPr>
      <w:r w:rsidRPr="00102572">
        <w:rPr>
          <w:rFonts w:ascii="Times New Roman" w:eastAsia="Times New Roman" w:hAnsi="Times New Roman" w:cs="Times New Roman"/>
          <w:color w:val="000000"/>
          <w:sz w:val="20"/>
          <w:szCs w:val="20"/>
          <w:bdr w:val="none" w:sz="0" w:space="0" w:color="auto" w:frame="1"/>
        </w:rPr>
        <w:t>            To look back at the stages of strategic planning from Gamble et al. (2019) is also to see just how the company can benefit from being able to successfully understand how the strategic vision works in a loop or cycle rather than a one-time process. Once a company evaluates and analyzes the environment and the performance of the strategy, it is up to the brass of the company to then take stock of how the strategy can continue to help the company further profits into the future. Stagnation is the mortal enemy of how a business survives and thrives; therefore, a company must continue to always re-work its strategy to better provide answers and solutions for the next phase of industrialization.</w:t>
      </w:r>
    </w:p>
    <w:p w:rsidR="00102572" w:rsidRPr="00102572" w:rsidRDefault="00102572" w:rsidP="00102572">
      <w:pPr>
        <w:spacing w:after="0" w:line="390" w:lineRule="atLeast"/>
        <w:rPr>
          <w:rFonts w:ascii="inherit" w:eastAsia="Times New Roman" w:hAnsi="inherit" w:cs="Open Sans"/>
          <w:color w:val="000000"/>
          <w:sz w:val="20"/>
          <w:szCs w:val="20"/>
        </w:rPr>
      </w:pPr>
      <w:r w:rsidRPr="00102572">
        <w:rPr>
          <w:rFonts w:ascii="Times New Roman" w:eastAsia="Times New Roman" w:hAnsi="Times New Roman" w:cs="Times New Roman"/>
          <w:b/>
          <w:bCs/>
          <w:color w:val="000000"/>
          <w:sz w:val="20"/>
          <w:szCs w:val="20"/>
          <w:bdr w:val="none" w:sz="0" w:space="0" w:color="auto" w:frame="1"/>
        </w:rPr>
        <w:t>Strategic Thinking: Advantages and Disadvantages</w:t>
      </w:r>
    </w:p>
    <w:p w:rsidR="00102572" w:rsidRPr="00102572" w:rsidRDefault="00102572" w:rsidP="00102572">
      <w:pPr>
        <w:spacing w:after="0" w:line="390" w:lineRule="atLeast"/>
        <w:rPr>
          <w:rFonts w:ascii="inherit" w:eastAsia="Times New Roman" w:hAnsi="inherit" w:cs="Open Sans"/>
          <w:color w:val="000000"/>
          <w:sz w:val="20"/>
          <w:szCs w:val="20"/>
        </w:rPr>
      </w:pPr>
      <w:r w:rsidRPr="00102572">
        <w:rPr>
          <w:rFonts w:ascii="Times New Roman" w:eastAsia="Times New Roman" w:hAnsi="Times New Roman" w:cs="Times New Roman"/>
          <w:color w:val="000000"/>
          <w:sz w:val="20"/>
          <w:szCs w:val="20"/>
          <w:bdr w:val="none" w:sz="0" w:space="0" w:color="auto" w:frame="1"/>
        </w:rPr>
        <w:t xml:space="preserve">            </w:t>
      </w:r>
      <w:proofErr w:type="spellStart"/>
      <w:r w:rsidRPr="00102572">
        <w:rPr>
          <w:rFonts w:ascii="Times New Roman" w:eastAsia="Times New Roman" w:hAnsi="Times New Roman" w:cs="Times New Roman"/>
          <w:color w:val="000000"/>
          <w:sz w:val="20"/>
          <w:szCs w:val="20"/>
          <w:bdr w:val="none" w:sz="0" w:space="0" w:color="auto" w:frame="1"/>
        </w:rPr>
        <w:t>Rumelt</w:t>
      </w:r>
      <w:proofErr w:type="spellEnd"/>
      <w:r w:rsidRPr="00102572">
        <w:rPr>
          <w:rFonts w:ascii="Times New Roman" w:eastAsia="Times New Roman" w:hAnsi="Times New Roman" w:cs="Times New Roman"/>
          <w:color w:val="000000"/>
          <w:sz w:val="20"/>
          <w:szCs w:val="20"/>
          <w:bdr w:val="none" w:sz="0" w:space="0" w:color="auto" w:frame="1"/>
        </w:rPr>
        <w:t xml:space="preserve"> (2012) notes that bad strategy is not a miscalculation of the potential of a business but rather “the active avoidance of the hard work of crafting a good strategy” (p. 58). Similarly, setting the decision for a company’s strategy can also be taken in a void of this magnitude. When a company’s strategy is crafted based upon objectives that are too far-fetched or too out of the ordinary, it begs further questioning as to what the company executives were thinking---or not thinking---when the strategy was initially crafted. Williams et al. (2018) all </w:t>
      </w:r>
      <w:r w:rsidRPr="00102572">
        <w:rPr>
          <w:rFonts w:ascii="Times New Roman" w:eastAsia="Times New Roman" w:hAnsi="Times New Roman" w:cs="Times New Roman"/>
          <w:color w:val="000000"/>
          <w:sz w:val="20"/>
          <w:szCs w:val="20"/>
          <w:bdr w:val="none" w:sz="0" w:space="0" w:color="auto" w:frame="1"/>
        </w:rPr>
        <w:lastRenderedPageBreak/>
        <w:t>discuss the theory that small business executives struggle with this internal conflict most of all; this is primarily due to the idea of a small business having no control group with regards to how a company should move forward with a strategic plan. For many small businesses, the strategic plan is merely to survive and keep overhead costs at bay and not to advance further into the realm of corporate monopolies. The authors note that these business owners also feel a greater sense of pressure when it relates to goals not being met as small businesses tend to take greater risks and face the choice of ethical versus unethical behavior to meet a goal or prospect (p. 36).</w:t>
      </w:r>
    </w:p>
    <w:p w:rsidR="00102572" w:rsidRPr="00102572" w:rsidRDefault="00102572" w:rsidP="00102572">
      <w:pPr>
        <w:spacing w:after="0" w:line="390" w:lineRule="atLeast"/>
        <w:rPr>
          <w:rFonts w:ascii="inherit" w:eastAsia="Times New Roman" w:hAnsi="inherit" w:cs="Open Sans"/>
          <w:color w:val="000000"/>
          <w:sz w:val="20"/>
          <w:szCs w:val="20"/>
        </w:rPr>
      </w:pPr>
      <w:r w:rsidRPr="00102572">
        <w:rPr>
          <w:rFonts w:ascii="Times New Roman" w:eastAsia="Times New Roman" w:hAnsi="Times New Roman" w:cs="Times New Roman"/>
          <w:b/>
          <w:bCs/>
          <w:color w:val="000000"/>
          <w:sz w:val="20"/>
          <w:szCs w:val="20"/>
          <w:bdr w:val="none" w:sz="0" w:space="0" w:color="auto" w:frame="1"/>
        </w:rPr>
        <w:t>Decision Model</w:t>
      </w:r>
    </w:p>
    <w:p w:rsidR="00102572" w:rsidRPr="00102572" w:rsidRDefault="00102572" w:rsidP="00102572">
      <w:pPr>
        <w:spacing w:after="0" w:line="390" w:lineRule="atLeast"/>
        <w:rPr>
          <w:rFonts w:ascii="inherit" w:eastAsia="Times New Roman" w:hAnsi="inherit" w:cs="Open Sans"/>
          <w:color w:val="000000"/>
          <w:sz w:val="20"/>
          <w:szCs w:val="20"/>
        </w:rPr>
      </w:pPr>
      <w:r w:rsidRPr="00102572">
        <w:rPr>
          <w:rFonts w:ascii="Times New Roman" w:eastAsia="Times New Roman" w:hAnsi="Times New Roman" w:cs="Times New Roman"/>
          <w:color w:val="000000"/>
          <w:sz w:val="20"/>
          <w:szCs w:val="20"/>
          <w:bdr w:val="none" w:sz="0" w:space="0" w:color="auto" w:frame="1"/>
        </w:rPr>
        <w:t xml:space="preserve">            </w:t>
      </w:r>
      <w:proofErr w:type="spellStart"/>
      <w:r w:rsidRPr="00102572">
        <w:rPr>
          <w:rFonts w:ascii="Times New Roman" w:eastAsia="Times New Roman" w:hAnsi="Times New Roman" w:cs="Times New Roman"/>
          <w:color w:val="000000"/>
          <w:sz w:val="20"/>
          <w:szCs w:val="20"/>
          <w:bdr w:val="none" w:sz="0" w:space="0" w:color="auto" w:frame="1"/>
        </w:rPr>
        <w:t>Krogerus</w:t>
      </w:r>
      <w:proofErr w:type="spellEnd"/>
      <w:r w:rsidRPr="00102572">
        <w:rPr>
          <w:rFonts w:ascii="Times New Roman" w:eastAsia="Times New Roman" w:hAnsi="Times New Roman" w:cs="Times New Roman"/>
          <w:color w:val="000000"/>
          <w:sz w:val="20"/>
          <w:szCs w:val="20"/>
          <w:bdr w:val="none" w:sz="0" w:space="0" w:color="auto" w:frame="1"/>
        </w:rPr>
        <w:t xml:space="preserve"> and </w:t>
      </w:r>
      <w:proofErr w:type="spellStart"/>
      <w:r w:rsidRPr="00102572">
        <w:rPr>
          <w:rFonts w:ascii="Times New Roman" w:eastAsia="Times New Roman" w:hAnsi="Times New Roman" w:cs="Times New Roman"/>
          <w:color w:val="000000"/>
          <w:sz w:val="20"/>
          <w:szCs w:val="20"/>
          <w:bdr w:val="none" w:sz="0" w:space="0" w:color="auto" w:frame="1"/>
        </w:rPr>
        <w:t>Tschappler</w:t>
      </w:r>
      <w:proofErr w:type="spellEnd"/>
      <w:r w:rsidRPr="00102572">
        <w:rPr>
          <w:rFonts w:ascii="Times New Roman" w:eastAsia="Times New Roman" w:hAnsi="Times New Roman" w:cs="Times New Roman"/>
          <w:color w:val="000000"/>
          <w:sz w:val="20"/>
          <w:szCs w:val="20"/>
          <w:bdr w:val="none" w:sz="0" w:space="0" w:color="auto" w:frame="1"/>
        </w:rPr>
        <w:t xml:space="preserve"> (2018) write about the John Whitmore model with how pursuing goals can be clouded based upon the idea that goals may not be properly correlated towards ideal terminologies and mindsets. The authors say that setting goals means also distinguishing between final goals and goals of performance (p. 22). This is also important for how businesses can best execute a given strategy. If the company is too focused on the final solution of the strategy, then no watermark from start to finish will be noted and accomplished. Whitmore’s model provides a theory that if there is a goal that is too unreachable and challenging, then the motivation will be lacking and unattainable. If a company provides a goal to sell ten million units of a product in a certain year, then the company should also provide benchmarks to hit per month in order to get there; this will motivate employees to work harder so that the company can hit their goals earlier and ramp up production faster to both provide more down time for the employees or to meet a potentially higher demand if the market dictates that to be the case.</w:t>
      </w:r>
    </w:p>
    <w:p w:rsidR="00102572" w:rsidRPr="00102572" w:rsidRDefault="00102572" w:rsidP="00102572">
      <w:pPr>
        <w:spacing w:after="0" w:line="390" w:lineRule="atLeast"/>
        <w:jc w:val="center"/>
        <w:rPr>
          <w:rFonts w:ascii="inherit" w:eastAsia="Times New Roman" w:hAnsi="inherit" w:cs="Open Sans"/>
          <w:color w:val="000000"/>
          <w:sz w:val="20"/>
          <w:szCs w:val="20"/>
        </w:rPr>
      </w:pPr>
      <w:r w:rsidRPr="00102572">
        <w:rPr>
          <w:rFonts w:ascii="Times New Roman" w:eastAsia="Times New Roman" w:hAnsi="Times New Roman" w:cs="Times New Roman"/>
          <w:b/>
          <w:bCs/>
          <w:color w:val="000000"/>
          <w:sz w:val="20"/>
          <w:szCs w:val="20"/>
          <w:bdr w:val="none" w:sz="0" w:space="0" w:color="auto" w:frame="1"/>
        </w:rPr>
        <w:t>Conclusion</w:t>
      </w:r>
    </w:p>
    <w:p w:rsidR="00102572" w:rsidRPr="00102572" w:rsidRDefault="00102572" w:rsidP="00102572">
      <w:pPr>
        <w:spacing w:after="0" w:line="390" w:lineRule="atLeast"/>
        <w:rPr>
          <w:rFonts w:ascii="inherit" w:eastAsia="Times New Roman" w:hAnsi="inherit" w:cs="Open Sans"/>
          <w:color w:val="000000"/>
          <w:sz w:val="20"/>
          <w:szCs w:val="20"/>
        </w:rPr>
      </w:pPr>
      <w:r w:rsidRPr="00102572">
        <w:rPr>
          <w:rFonts w:ascii="Times New Roman" w:eastAsia="Times New Roman" w:hAnsi="Times New Roman" w:cs="Times New Roman"/>
          <w:color w:val="000000"/>
          <w:sz w:val="20"/>
          <w:szCs w:val="20"/>
          <w:bdr w:val="none" w:sz="0" w:space="0" w:color="auto" w:frame="1"/>
        </w:rPr>
        <w:t xml:space="preserve">            Strategy in business is a fluid reminder of just how important every day in the warehouse and on the work floor is to the survival of many business owners’ hard-earned income. When companies do not understand how to properly execute business strategy, the work will suffer, and the company could be left in the dust by a competitor. However, companies that understand strategic execution are more likely to last longer </w:t>
      </w:r>
      <w:proofErr w:type="gramStart"/>
      <w:r w:rsidRPr="00102572">
        <w:rPr>
          <w:rFonts w:ascii="Times New Roman" w:eastAsia="Times New Roman" w:hAnsi="Times New Roman" w:cs="Times New Roman"/>
          <w:color w:val="000000"/>
          <w:sz w:val="20"/>
          <w:szCs w:val="20"/>
          <w:bdr w:val="none" w:sz="0" w:space="0" w:color="auto" w:frame="1"/>
        </w:rPr>
        <w:t>based</w:t>
      </w:r>
      <w:proofErr w:type="gramEnd"/>
      <w:r w:rsidRPr="00102572">
        <w:rPr>
          <w:rFonts w:ascii="Times New Roman" w:eastAsia="Times New Roman" w:hAnsi="Times New Roman" w:cs="Times New Roman"/>
          <w:color w:val="000000"/>
          <w:sz w:val="20"/>
          <w:szCs w:val="20"/>
          <w:bdr w:val="none" w:sz="0" w:space="0" w:color="auto" w:frame="1"/>
        </w:rPr>
        <w:t xml:space="preserve"> upon high-minded ideals that are not just pie-in-the-sky goals. The work that comes after the planning phase is just as important as the planning itself.</w:t>
      </w:r>
    </w:p>
    <w:p w:rsidR="00102572" w:rsidRPr="00102572" w:rsidRDefault="00102572" w:rsidP="00102572">
      <w:pPr>
        <w:spacing w:after="0" w:line="390" w:lineRule="atLeast"/>
        <w:jc w:val="center"/>
        <w:rPr>
          <w:rFonts w:ascii="inherit" w:eastAsia="Times New Roman" w:hAnsi="inherit" w:cs="Open Sans"/>
          <w:color w:val="000000"/>
          <w:sz w:val="20"/>
          <w:szCs w:val="20"/>
        </w:rPr>
      </w:pPr>
      <w:r w:rsidRPr="00102572">
        <w:rPr>
          <w:rFonts w:ascii="Times New Roman" w:eastAsia="Times New Roman" w:hAnsi="Times New Roman" w:cs="Times New Roman"/>
          <w:b/>
          <w:bCs/>
          <w:color w:val="000000"/>
          <w:sz w:val="20"/>
          <w:szCs w:val="20"/>
          <w:bdr w:val="none" w:sz="0" w:space="0" w:color="auto" w:frame="1"/>
        </w:rPr>
        <w:t>References</w:t>
      </w:r>
    </w:p>
    <w:p w:rsidR="00102572" w:rsidRPr="00102572" w:rsidRDefault="00102572" w:rsidP="00102572">
      <w:pPr>
        <w:spacing w:after="0" w:line="240" w:lineRule="auto"/>
        <w:rPr>
          <w:rFonts w:ascii="inherit" w:eastAsia="Times New Roman" w:hAnsi="inherit" w:cs="Open Sans"/>
          <w:color w:val="000000"/>
          <w:sz w:val="20"/>
          <w:szCs w:val="20"/>
        </w:rPr>
      </w:pPr>
      <w:r w:rsidRPr="00102572">
        <w:rPr>
          <w:rFonts w:ascii="Times New Roman" w:eastAsia="Times New Roman" w:hAnsi="Times New Roman" w:cs="Times New Roman"/>
          <w:color w:val="000000"/>
          <w:sz w:val="20"/>
          <w:szCs w:val="20"/>
          <w:bdr w:val="none" w:sz="0" w:space="0" w:color="auto" w:frame="1"/>
        </w:rPr>
        <w:t xml:space="preserve">Gamble, J., </w:t>
      </w:r>
      <w:proofErr w:type="spellStart"/>
      <w:r w:rsidRPr="00102572">
        <w:rPr>
          <w:rFonts w:ascii="Times New Roman" w:eastAsia="Times New Roman" w:hAnsi="Times New Roman" w:cs="Times New Roman"/>
          <w:color w:val="000000"/>
          <w:sz w:val="20"/>
          <w:szCs w:val="20"/>
          <w:bdr w:val="none" w:sz="0" w:space="0" w:color="auto" w:frame="1"/>
        </w:rPr>
        <w:t>Peteraf</w:t>
      </w:r>
      <w:proofErr w:type="spellEnd"/>
      <w:r w:rsidRPr="00102572">
        <w:rPr>
          <w:rFonts w:ascii="Times New Roman" w:eastAsia="Times New Roman" w:hAnsi="Times New Roman" w:cs="Times New Roman"/>
          <w:color w:val="000000"/>
          <w:sz w:val="20"/>
          <w:szCs w:val="20"/>
          <w:bdr w:val="none" w:sz="0" w:space="0" w:color="auto" w:frame="1"/>
        </w:rPr>
        <w:t>, M., &amp; Thompson, A. (2019)</w:t>
      </w:r>
      <w:proofErr w:type="gramStart"/>
      <w:r w:rsidRPr="00102572">
        <w:rPr>
          <w:rFonts w:ascii="Times New Roman" w:eastAsia="Times New Roman" w:hAnsi="Times New Roman" w:cs="Times New Roman"/>
          <w:color w:val="000000"/>
          <w:sz w:val="20"/>
          <w:szCs w:val="20"/>
          <w:bdr w:val="none" w:sz="0" w:space="0" w:color="auto" w:frame="1"/>
        </w:rPr>
        <w:t>.,</w:t>
      </w:r>
      <w:proofErr w:type="gramEnd"/>
      <w:r w:rsidRPr="00102572">
        <w:rPr>
          <w:rFonts w:ascii="Times New Roman" w:eastAsia="Times New Roman" w:hAnsi="Times New Roman" w:cs="Times New Roman"/>
          <w:color w:val="000000"/>
          <w:sz w:val="20"/>
          <w:szCs w:val="20"/>
          <w:bdr w:val="none" w:sz="0" w:space="0" w:color="auto" w:frame="1"/>
        </w:rPr>
        <w:t xml:space="preserve"> Essentials of strategic management, McGraw - Hill Higher Education (6th ed.), New York, NY.</w:t>
      </w:r>
    </w:p>
    <w:p w:rsidR="00102572" w:rsidRPr="00102572" w:rsidRDefault="00102572" w:rsidP="00102572">
      <w:pPr>
        <w:spacing w:after="0" w:line="240" w:lineRule="auto"/>
        <w:rPr>
          <w:rFonts w:ascii="inherit" w:eastAsia="Times New Roman" w:hAnsi="inherit" w:cs="Open Sans"/>
          <w:color w:val="000000"/>
          <w:sz w:val="20"/>
          <w:szCs w:val="20"/>
        </w:rPr>
      </w:pPr>
      <w:proofErr w:type="spellStart"/>
      <w:r w:rsidRPr="00102572">
        <w:rPr>
          <w:rFonts w:ascii="Times New Roman" w:eastAsia="Times New Roman" w:hAnsi="Times New Roman" w:cs="Times New Roman"/>
          <w:color w:val="000000"/>
          <w:sz w:val="20"/>
          <w:szCs w:val="20"/>
          <w:bdr w:val="none" w:sz="0" w:space="0" w:color="auto" w:frame="1"/>
        </w:rPr>
        <w:t>Krogerus</w:t>
      </w:r>
      <w:proofErr w:type="spellEnd"/>
      <w:r w:rsidRPr="00102572">
        <w:rPr>
          <w:rFonts w:ascii="Times New Roman" w:eastAsia="Times New Roman" w:hAnsi="Times New Roman" w:cs="Times New Roman"/>
          <w:color w:val="000000"/>
          <w:sz w:val="20"/>
          <w:szCs w:val="20"/>
          <w:bdr w:val="none" w:sz="0" w:space="0" w:color="auto" w:frame="1"/>
        </w:rPr>
        <w:t xml:space="preserve">, M., &amp; </w:t>
      </w:r>
      <w:proofErr w:type="spellStart"/>
      <w:r w:rsidRPr="00102572">
        <w:rPr>
          <w:rFonts w:ascii="Times New Roman" w:eastAsia="Times New Roman" w:hAnsi="Times New Roman" w:cs="Times New Roman"/>
          <w:color w:val="000000"/>
          <w:sz w:val="20"/>
          <w:szCs w:val="20"/>
          <w:bdr w:val="none" w:sz="0" w:space="0" w:color="auto" w:frame="1"/>
        </w:rPr>
        <w:t>Tschäppeler</w:t>
      </w:r>
      <w:proofErr w:type="spellEnd"/>
      <w:r w:rsidRPr="00102572">
        <w:rPr>
          <w:rFonts w:ascii="Times New Roman" w:eastAsia="Times New Roman" w:hAnsi="Times New Roman" w:cs="Times New Roman"/>
          <w:color w:val="000000"/>
          <w:sz w:val="20"/>
          <w:szCs w:val="20"/>
          <w:bdr w:val="none" w:sz="0" w:space="0" w:color="auto" w:frame="1"/>
        </w:rPr>
        <w:t>, R. (2018)</w:t>
      </w:r>
      <w:proofErr w:type="gramStart"/>
      <w:r w:rsidRPr="00102572">
        <w:rPr>
          <w:rFonts w:ascii="Times New Roman" w:eastAsia="Times New Roman" w:hAnsi="Times New Roman" w:cs="Times New Roman"/>
          <w:color w:val="000000"/>
          <w:sz w:val="20"/>
          <w:szCs w:val="20"/>
          <w:bdr w:val="none" w:sz="0" w:space="0" w:color="auto" w:frame="1"/>
        </w:rPr>
        <w:t>.,</w:t>
      </w:r>
      <w:proofErr w:type="gramEnd"/>
      <w:r w:rsidRPr="00102572">
        <w:rPr>
          <w:rFonts w:ascii="Times New Roman" w:eastAsia="Times New Roman" w:hAnsi="Times New Roman" w:cs="Times New Roman"/>
          <w:color w:val="000000"/>
          <w:sz w:val="20"/>
          <w:szCs w:val="20"/>
          <w:bdr w:val="none" w:sz="0" w:space="0" w:color="auto" w:frame="1"/>
        </w:rPr>
        <w:t xml:space="preserve"> The decision book: 50 models for strategic thinking., W. Norton &amp; Company, Inc. (Revised ed.), New York, NY.</w:t>
      </w:r>
    </w:p>
    <w:p w:rsidR="00102572" w:rsidRPr="00102572" w:rsidRDefault="00102572" w:rsidP="00102572">
      <w:pPr>
        <w:spacing w:after="0" w:line="240" w:lineRule="auto"/>
        <w:rPr>
          <w:rFonts w:ascii="inherit" w:eastAsia="Times New Roman" w:hAnsi="inherit" w:cs="Open Sans"/>
          <w:color w:val="000000"/>
          <w:sz w:val="20"/>
          <w:szCs w:val="20"/>
        </w:rPr>
      </w:pPr>
      <w:r w:rsidRPr="00102572">
        <w:rPr>
          <w:rFonts w:ascii="Times New Roman" w:eastAsia="Times New Roman" w:hAnsi="Times New Roman" w:cs="Times New Roman"/>
          <w:color w:val="000000"/>
          <w:sz w:val="20"/>
          <w:szCs w:val="20"/>
          <w:bdr w:val="none" w:sz="0" w:space="0" w:color="auto" w:frame="1"/>
        </w:rPr>
        <w:t>Lawlor, J. E. (2010). The importance of strategic planning. London: Observatory on Borderless Higher education Long Range Planning, 21(1), 73-81.</w:t>
      </w:r>
    </w:p>
    <w:p w:rsidR="00102572" w:rsidRPr="00102572" w:rsidRDefault="00102572" w:rsidP="00102572">
      <w:pPr>
        <w:spacing w:after="0" w:line="240" w:lineRule="auto"/>
        <w:rPr>
          <w:rFonts w:ascii="inherit" w:eastAsia="Times New Roman" w:hAnsi="inherit" w:cs="Open Sans"/>
          <w:color w:val="000000"/>
          <w:sz w:val="20"/>
          <w:szCs w:val="20"/>
        </w:rPr>
      </w:pPr>
      <w:proofErr w:type="spellStart"/>
      <w:r w:rsidRPr="00102572">
        <w:rPr>
          <w:rFonts w:ascii="Times New Roman" w:eastAsia="Times New Roman" w:hAnsi="Times New Roman" w:cs="Times New Roman"/>
          <w:color w:val="000000"/>
          <w:sz w:val="20"/>
          <w:szCs w:val="20"/>
          <w:bdr w:val="none" w:sz="0" w:space="0" w:color="auto" w:frame="1"/>
        </w:rPr>
        <w:t>Rumelt</w:t>
      </w:r>
      <w:proofErr w:type="spellEnd"/>
      <w:r w:rsidRPr="00102572">
        <w:rPr>
          <w:rFonts w:ascii="Times New Roman" w:eastAsia="Times New Roman" w:hAnsi="Times New Roman" w:cs="Times New Roman"/>
          <w:color w:val="000000"/>
          <w:sz w:val="20"/>
          <w:szCs w:val="20"/>
          <w:bdr w:val="none" w:sz="0" w:space="0" w:color="auto" w:frame="1"/>
        </w:rPr>
        <w:t>, R. (2011). Good Strategy/bad Strategy: The difference and why it matters. Crown Publishing.</w:t>
      </w:r>
    </w:p>
    <w:p w:rsidR="00102572" w:rsidRPr="00102572" w:rsidRDefault="00102572" w:rsidP="00102572">
      <w:pPr>
        <w:spacing w:after="0" w:line="240" w:lineRule="auto"/>
        <w:rPr>
          <w:rFonts w:ascii="inherit" w:eastAsia="Times New Roman" w:hAnsi="inherit" w:cs="Open Sans"/>
          <w:color w:val="000000"/>
          <w:sz w:val="20"/>
          <w:szCs w:val="20"/>
        </w:rPr>
      </w:pPr>
      <w:r w:rsidRPr="00102572">
        <w:rPr>
          <w:rFonts w:ascii="Times New Roman" w:eastAsia="Times New Roman" w:hAnsi="Times New Roman" w:cs="Times New Roman"/>
          <w:color w:val="000000"/>
          <w:sz w:val="20"/>
          <w:szCs w:val="20"/>
          <w:bdr w:val="none" w:sz="0" w:space="0" w:color="auto" w:frame="1"/>
        </w:rPr>
        <w:t>Williams Jr, R. I., Manley, S. C., Aaron, J. R., &amp; Daniel, F. (2018). The relationship between a comprehensive strategic approach and small business performance. Journal of Small Business Strategy, 28(2), 33-48.</w:t>
      </w:r>
    </w:p>
    <w:p w:rsidR="00102572" w:rsidRPr="00102572" w:rsidRDefault="00102572" w:rsidP="00102572">
      <w:pPr>
        <w:spacing w:after="0" w:line="390" w:lineRule="atLeast"/>
        <w:jc w:val="center"/>
        <w:rPr>
          <w:rFonts w:ascii="inherit" w:eastAsia="Times New Roman" w:hAnsi="inherit" w:cs="Open Sans"/>
          <w:color w:val="000000"/>
          <w:sz w:val="20"/>
          <w:szCs w:val="20"/>
        </w:rPr>
      </w:pPr>
      <w:r w:rsidRPr="00102572">
        <w:rPr>
          <w:rFonts w:ascii="Times New Roman" w:eastAsia="Times New Roman" w:hAnsi="Times New Roman" w:cs="Times New Roman"/>
          <w:b/>
          <w:bCs/>
          <w:color w:val="000000"/>
          <w:sz w:val="20"/>
          <w:szCs w:val="20"/>
          <w:bdr w:val="none" w:sz="0" w:space="0" w:color="auto" w:frame="1"/>
        </w:rPr>
        <w:t>Annotated Bibliography</w:t>
      </w:r>
    </w:p>
    <w:p w:rsidR="00102572" w:rsidRPr="00102572" w:rsidRDefault="00102572" w:rsidP="00102572">
      <w:pPr>
        <w:spacing w:after="0" w:line="240" w:lineRule="auto"/>
        <w:rPr>
          <w:rFonts w:ascii="inherit" w:eastAsia="Times New Roman" w:hAnsi="inherit" w:cs="Open Sans"/>
          <w:color w:val="000000"/>
          <w:sz w:val="20"/>
          <w:szCs w:val="20"/>
        </w:rPr>
      </w:pPr>
      <w:r w:rsidRPr="00102572">
        <w:rPr>
          <w:rFonts w:ascii="Times New Roman" w:eastAsia="Times New Roman" w:hAnsi="Times New Roman" w:cs="Times New Roman"/>
          <w:color w:val="000000"/>
          <w:sz w:val="20"/>
          <w:szCs w:val="20"/>
          <w:bdr w:val="none" w:sz="0" w:space="0" w:color="auto" w:frame="1"/>
        </w:rPr>
        <w:t>Lawlor, J. E. (2010). The importance of strategic planning. London: Observatory on Borderless   Higher education Long Range Planning, 21(1), 73-81.</w:t>
      </w:r>
    </w:p>
    <w:p w:rsidR="00102572" w:rsidRPr="00102572" w:rsidRDefault="00102572" w:rsidP="00102572">
      <w:pPr>
        <w:spacing w:after="0" w:line="390" w:lineRule="atLeast"/>
        <w:rPr>
          <w:rFonts w:ascii="inherit" w:eastAsia="Times New Roman" w:hAnsi="inherit" w:cs="Open Sans"/>
          <w:color w:val="000000"/>
          <w:sz w:val="20"/>
          <w:szCs w:val="20"/>
        </w:rPr>
      </w:pPr>
      <w:r w:rsidRPr="00102572">
        <w:rPr>
          <w:rFonts w:ascii="Times New Roman" w:eastAsia="Times New Roman" w:hAnsi="Times New Roman" w:cs="Times New Roman"/>
          <w:color w:val="000000"/>
          <w:sz w:val="20"/>
          <w:szCs w:val="20"/>
          <w:bdr w:val="none" w:sz="0" w:space="0" w:color="auto" w:frame="1"/>
        </w:rPr>
        <w:lastRenderedPageBreak/>
        <w:t>            Mr. Lawlor writes on the importance of strategic planning with merely a bachelor’s degree from Saint Michael’s College in Colchester, Vermont. It is not necessarily his academic acumen that lends him as a notable scholar in this field, though. Lawlor was at the hands of several multi-billion-dollar mergers in his time in the finance field and served as Vice President of Strategic Planning and Development for a Fortune 120 company before becoming a consultant to the team at Practical Decisions. Lawlor’s business savvy lends well in his topical writing of the importance of strategic planning as it dedicates a succinct plan and process towards how businesses can better be served by the understanding of strategic planning at its core. The author speaks about how business owners must take heed of key cogs with strategic planning and how proper execution of a plan is essential to the survival of the business and the overall reputation of the company executives as well. This source is pivotal because it is a direct line from a prominent consultant to business leaders looking for that next edge when it comes to understanding how to build and foster a successful strategy in planning and executing goals.</w:t>
      </w:r>
    </w:p>
    <w:p w:rsidR="00102572" w:rsidRPr="00102572" w:rsidRDefault="00102572" w:rsidP="00102572">
      <w:pPr>
        <w:spacing w:after="0" w:line="240" w:lineRule="auto"/>
        <w:rPr>
          <w:rFonts w:ascii="inherit" w:eastAsia="Times New Roman" w:hAnsi="inherit" w:cs="Open Sans"/>
          <w:color w:val="000000"/>
          <w:sz w:val="20"/>
          <w:szCs w:val="20"/>
        </w:rPr>
      </w:pPr>
      <w:r w:rsidRPr="00102572">
        <w:rPr>
          <w:rFonts w:ascii="Times New Roman" w:eastAsia="Times New Roman" w:hAnsi="Times New Roman" w:cs="Times New Roman"/>
          <w:color w:val="000000"/>
          <w:sz w:val="20"/>
          <w:szCs w:val="20"/>
          <w:bdr w:val="none" w:sz="0" w:space="0" w:color="auto" w:frame="1"/>
        </w:rPr>
        <w:t>Williams Jr, R. I., Manley, S. C., Aaron, J. R., &amp; Daniel, F. (2018). The relationship between a comprehensive strategic approach and small business performance. Journal of Small Business Strategy, 28(2), 33-48.</w:t>
      </w:r>
    </w:p>
    <w:p w:rsidR="00102572" w:rsidRPr="00102572" w:rsidRDefault="00102572" w:rsidP="00102572">
      <w:pPr>
        <w:spacing w:after="0" w:line="390" w:lineRule="atLeast"/>
        <w:rPr>
          <w:rFonts w:ascii="inherit" w:eastAsia="Times New Roman" w:hAnsi="inherit" w:cs="Open Sans"/>
          <w:color w:val="000000"/>
          <w:sz w:val="20"/>
          <w:szCs w:val="20"/>
        </w:rPr>
      </w:pPr>
      <w:r w:rsidRPr="00102572">
        <w:rPr>
          <w:rFonts w:ascii="Times New Roman" w:eastAsia="Times New Roman" w:hAnsi="Times New Roman" w:cs="Times New Roman"/>
          <w:color w:val="000000"/>
          <w:sz w:val="20"/>
          <w:szCs w:val="20"/>
          <w:bdr w:val="none" w:sz="0" w:space="0" w:color="auto" w:frame="1"/>
        </w:rPr>
        <w:t>            All four authors come from the mid-South United States, primarily in Tennessee, and speak about how small businesses can suffer from a lack of a proper approach to strategic goal setting in industry. The authors note that small businesses lack a support staff to be able to provide a proper education in how to build the future and provide further goals to achieve a greater modicum of success in the workforce. The authors, working under the guise of the Journal of Small Business Strategy and The Small Business Institute, posit several hypotheses relating to this idea that small business leaders have great plans in both written and unwritten forms that may never see the light of day due to this lack of a prominent support group. This vacuum of information hurts the small businesses, especially if the owners of these groups are short-sighted about their finances and month-to-month quotas; in reality, many small business owners are short-sighted with this notion because of the idea that companies are always in competition and bigger-name brands have teams that focus squarely on planning the future. Small business owners have to handle the day-to-day aspects as well as manage overhead costs while failing to plan for what comes next, as the authors note and try to show how smaller businesses can avoid these pratfalls.</w:t>
      </w:r>
    </w:p>
    <w:p w:rsidR="00102572" w:rsidRDefault="00102572" w:rsidP="00102572">
      <w:pPr>
        <w:pBdr>
          <w:top w:val="single" w:sz="6" w:space="1" w:color="auto"/>
        </w:pBdr>
        <w:spacing w:after="0" w:line="240" w:lineRule="auto"/>
        <w:jc w:val="center"/>
        <w:rPr>
          <w:rFonts w:ascii="Arial" w:eastAsia="Times New Roman" w:hAnsi="Arial" w:cs="Arial"/>
          <w:sz w:val="16"/>
          <w:szCs w:val="16"/>
        </w:rPr>
      </w:pPr>
    </w:p>
    <w:p w:rsidR="00102572" w:rsidRDefault="00102572" w:rsidP="00102572">
      <w:pPr>
        <w:pBdr>
          <w:top w:val="single" w:sz="6" w:space="1" w:color="auto"/>
        </w:pBdr>
        <w:spacing w:after="0" w:line="240" w:lineRule="auto"/>
        <w:jc w:val="center"/>
        <w:rPr>
          <w:rFonts w:ascii="Arial" w:eastAsia="Times New Roman" w:hAnsi="Arial" w:cs="Arial"/>
          <w:sz w:val="16"/>
          <w:szCs w:val="16"/>
        </w:rPr>
      </w:pPr>
    </w:p>
    <w:p w:rsidR="00102572" w:rsidRDefault="00102572" w:rsidP="00102572">
      <w:pPr>
        <w:rPr>
          <w:sz w:val="48"/>
          <w:szCs w:val="48"/>
        </w:rPr>
      </w:pPr>
      <w:r>
        <w:rPr>
          <w:sz w:val="48"/>
          <w:szCs w:val="48"/>
          <w:highlight w:val="yellow"/>
        </w:rPr>
        <w:t>POST #2</w:t>
      </w:r>
      <w:bookmarkStart w:id="0" w:name="_GoBack"/>
      <w:bookmarkEnd w:id="0"/>
    </w:p>
    <w:p w:rsidR="00102572" w:rsidRDefault="00102572" w:rsidP="00102572">
      <w:pPr>
        <w:pStyle w:val="NormalWeb"/>
        <w:shd w:val="clear" w:color="auto" w:fill="E6E6E6"/>
        <w:spacing w:before="0" w:beforeAutospacing="0" w:after="0" w:afterAutospacing="0" w:line="390" w:lineRule="atLeast"/>
        <w:jc w:val="center"/>
        <w:rPr>
          <w:rFonts w:ascii="Open Sans" w:hAnsi="Open Sans" w:cs="Open Sans"/>
          <w:color w:val="000000"/>
        </w:rPr>
      </w:pPr>
      <w:r>
        <w:rPr>
          <w:b/>
          <w:bCs/>
          <w:color w:val="000000"/>
          <w:sz w:val="20"/>
          <w:szCs w:val="20"/>
          <w:bdr w:val="none" w:sz="0" w:space="0" w:color="auto" w:frame="1"/>
        </w:rPr>
        <w:t>Discussion Thread 2:</w:t>
      </w:r>
    </w:p>
    <w:p w:rsidR="00102572" w:rsidRDefault="00102572" w:rsidP="00102572">
      <w:pPr>
        <w:pStyle w:val="NormalWeb"/>
        <w:shd w:val="clear" w:color="auto" w:fill="E6E6E6"/>
        <w:spacing w:before="0" w:beforeAutospacing="0" w:after="0" w:afterAutospacing="0" w:line="390" w:lineRule="atLeast"/>
        <w:jc w:val="center"/>
        <w:rPr>
          <w:rFonts w:ascii="Open Sans" w:hAnsi="Open Sans" w:cs="Open Sans"/>
          <w:color w:val="000000"/>
        </w:rPr>
      </w:pPr>
      <w:r>
        <w:rPr>
          <w:b/>
          <w:bCs/>
          <w:color w:val="000000"/>
          <w:sz w:val="20"/>
          <w:szCs w:val="20"/>
          <w:bdr w:val="none" w:sz="0" w:space="0" w:color="auto" w:frame="1"/>
        </w:rPr>
        <w:t>Setting Direction, Advantages/Disadvantages, and Decision Models</w:t>
      </w:r>
    </w:p>
    <w:p w:rsidR="00102572" w:rsidRDefault="00102572" w:rsidP="00102572">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sz w:val="20"/>
          <w:szCs w:val="20"/>
          <w:bdr w:val="none" w:sz="0" w:space="0" w:color="auto" w:frame="1"/>
        </w:rPr>
        <w:t>Brianne Michalski</w:t>
      </w:r>
    </w:p>
    <w:p w:rsidR="00102572" w:rsidRDefault="00102572" w:rsidP="00102572">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sz w:val="20"/>
          <w:szCs w:val="20"/>
          <w:bdr w:val="none" w:sz="0" w:space="0" w:color="auto" w:frame="1"/>
        </w:rPr>
        <w:t>Liberty University</w:t>
      </w:r>
    </w:p>
    <w:p w:rsidR="00102572" w:rsidRDefault="00102572" w:rsidP="00102572">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sz w:val="20"/>
          <w:szCs w:val="20"/>
          <w:bdr w:val="none" w:sz="0" w:space="0" w:color="auto" w:frame="1"/>
        </w:rPr>
        <w:t>BUSI 770: Strategic Formulation &amp; Strategic Thinking</w:t>
      </w:r>
    </w:p>
    <w:p w:rsidR="00102572" w:rsidRDefault="00102572" w:rsidP="00102572">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sz w:val="20"/>
          <w:szCs w:val="20"/>
          <w:bdr w:val="none" w:sz="0" w:space="0" w:color="auto" w:frame="1"/>
        </w:rPr>
        <w:lastRenderedPageBreak/>
        <w:t>Dr. Jennifer Mize</w:t>
      </w:r>
    </w:p>
    <w:p w:rsidR="00102572" w:rsidRDefault="00102572" w:rsidP="00102572">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sz w:val="20"/>
          <w:szCs w:val="20"/>
          <w:bdr w:val="none" w:sz="0" w:space="0" w:color="auto" w:frame="1"/>
        </w:rPr>
        <w:t>January 31, 2021</w:t>
      </w:r>
    </w:p>
    <w:p w:rsidR="00102572" w:rsidRDefault="00102572" w:rsidP="00102572">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sz w:val="20"/>
          <w:szCs w:val="20"/>
          <w:bdr w:val="none" w:sz="0" w:space="0" w:color="auto" w:frame="1"/>
        </w:rPr>
        <w:t> </w:t>
      </w:r>
    </w:p>
    <w:p w:rsidR="00102572" w:rsidRDefault="00102572" w:rsidP="00102572">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sz w:val="20"/>
          <w:szCs w:val="20"/>
          <w:bdr w:val="none" w:sz="0" w:space="0" w:color="auto" w:frame="1"/>
        </w:rPr>
        <w:t> </w:t>
      </w:r>
    </w:p>
    <w:p w:rsidR="00102572" w:rsidRDefault="00102572" w:rsidP="00102572">
      <w:pPr>
        <w:pStyle w:val="NormalWeb"/>
        <w:shd w:val="clear" w:color="auto" w:fill="E6E6E6"/>
        <w:spacing w:before="0" w:beforeAutospacing="0" w:after="0" w:afterAutospacing="0" w:line="390" w:lineRule="atLeast"/>
        <w:jc w:val="center"/>
        <w:rPr>
          <w:rFonts w:ascii="Open Sans" w:hAnsi="Open Sans" w:cs="Open Sans"/>
          <w:color w:val="000000"/>
        </w:rPr>
      </w:pPr>
      <w:r>
        <w:rPr>
          <w:b/>
          <w:bCs/>
          <w:color w:val="000000"/>
          <w:sz w:val="20"/>
          <w:szCs w:val="20"/>
          <w:bdr w:val="none" w:sz="0" w:space="0" w:color="auto" w:frame="1"/>
        </w:rPr>
        <w:t>Author Note</w:t>
      </w:r>
    </w:p>
    <w:p w:rsidR="00102572" w:rsidRDefault="00102572" w:rsidP="00102572">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sz w:val="20"/>
          <w:szCs w:val="20"/>
          <w:bdr w:val="none" w:sz="0" w:space="0" w:color="auto" w:frame="1"/>
        </w:rPr>
        <w:t>Brianne Michalski</w:t>
      </w:r>
    </w:p>
    <w:p w:rsidR="00102572" w:rsidRDefault="00102572" w:rsidP="00102572">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sz w:val="20"/>
          <w:szCs w:val="20"/>
          <w:bdr w:val="none" w:sz="0" w:space="0" w:color="auto" w:frame="1"/>
        </w:rPr>
        <w:t>I have no known conflict of interest to disclose.</w:t>
      </w:r>
    </w:p>
    <w:p w:rsidR="00102572" w:rsidRDefault="00102572" w:rsidP="00102572">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sz w:val="20"/>
          <w:szCs w:val="20"/>
          <w:bdr w:val="none" w:sz="0" w:space="0" w:color="auto" w:frame="1"/>
        </w:rPr>
        <w:t>Correspondence concerning this article should be addressed to Brianne Michalski</w:t>
      </w:r>
    </w:p>
    <w:p w:rsidR="00102572" w:rsidRDefault="00102572" w:rsidP="00102572">
      <w:pPr>
        <w:pStyle w:val="NormalWeb"/>
        <w:shd w:val="clear" w:color="auto" w:fill="E6E6E6"/>
        <w:spacing w:before="0" w:beforeAutospacing="0" w:after="0" w:afterAutospacing="0" w:line="390" w:lineRule="atLeast"/>
        <w:rPr>
          <w:rFonts w:ascii="Open Sans" w:hAnsi="Open Sans" w:cs="Open Sans"/>
          <w:color w:val="000000"/>
        </w:rPr>
      </w:pPr>
      <w:r>
        <w:rPr>
          <w:color w:val="000000"/>
          <w:sz w:val="20"/>
          <w:szCs w:val="20"/>
          <w:bdr w:val="none" w:sz="0" w:space="0" w:color="auto" w:frame="1"/>
        </w:rPr>
        <w:t>Email: bmichalski@liberty.edu</w:t>
      </w:r>
      <w:r>
        <w:rPr>
          <w:rFonts w:ascii="Open Sans" w:hAnsi="Open Sans" w:cs="Open Sans"/>
          <w:color w:val="000000"/>
          <w:sz w:val="20"/>
          <w:szCs w:val="20"/>
          <w:bdr w:val="none" w:sz="0" w:space="0" w:color="auto" w:frame="1"/>
        </w:rPr>
        <w:br w:type="textWrapping" w:clear="all"/>
      </w:r>
      <w:r>
        <w:rPr>
          <w:rFonts w:ascii="Open Sans" w:hAnsi="Open Sans" w:cs="Open Sans"/>
          <w:color w:val="000000"/>
          <w:sz w:val="20"/>
          <w:szCs w:val="20"/>
          <w:bdr w:val="none" w:sz="0" w:space="0" w:color="auto" w:frame="1"/>
        </w:rPr>
        <w:br/>
      </w:r>
    </w:p>
    <w:p w:rsidR="00102572" w:rsidRDefault="00102572" w:rsidP="00102572">
      <w:pPr>
        <w:pStyle w:val="NormalWeb"/>
        <w:shd w:val="clear" w:color="auto" w:fill="E6E6E6"/>
        <w:spacing w:before="0" w:beforeAutospacing="0" w:after="0" w:afterAutospacing="0" w:line="390" w:lineRule="atLeast"/>
        <w:rPr>
          <w:rFonts w:ascii="Open Sans" w:hAnsi="Open Sans" w:cs="Open Sans"/>
          <w:color w:val="000000"/>
        </w:rPr>
      </w:pPr>
      <w:r>
        <w:rPr>
          <w:b/>
          <w:bCs/>
          <w:color w:val="000000"/>
          <w:sz w:val="20"/>
          <w:szCs w:val="20"/>
          <w:bdr w:val="none" w:sz="0" w:space="0" w:color="auto" w:frame="1"/>
        </w:rPr>
        <w:t>Discussion Thread 2: Setting Direction, Advantages/Disadvantages, and Decision Models</w:t>
      </w:r>
    </w:p>
    <w:p w:rsidR="00102572" w:rsidRDefault="00102572" w:rsidP="00102572">
      <w:pPr>
        <w:pStyle w:val="NormalWeb"/>
        <w:shd w:val="clear" w:color="auto" w:fill="E6E6E6"/>
        <w:spacing w:before="0" w:beforeAutospacing="0" w:after="0" w:afterAutospacing="0" w:line="390" w:lineRule="atLeast"/>
        <w:jc w:val="center"/>
        <w:rPr>
          <w:rFonts w:ascii="Open Sans" w:hAnsi="Open Sans" w:cs="Open Sans"/>
          <w:color w:val="000000"/>
        </w:rPr>
      </w:pPr>
      <w:r>
        <w:rPr>
          <w:b/>
          <w:bCs/>
          <w:color w:val="000000"/>
          <w:sz w:val="20"/>
          <w:szCs w:val="20"/>
          <w:bdr w:val="none" w:sz="0" w:space="0" w:color="auto" w:frame="1"/>
        </w:rPr>
        <w:t>Introduction</w:t>
      </w:r>
    </w:p>
    <w:p w:rsidR="00102572" w:rsidRDefault="00102572" w:rsidP="00102572">
      <w:pPr>
        <w:pStyle w:val="NormalWeb"/>
        <w:shd w:val="clear" w:color="auto" w:fill="E6E6E6"/>
        <w:spacing w:before="0" w:beforeAutospacing="0" w:after="0" w:afterAutospacing="0" w:line="390" w:lineRule="atLeast"/>
        <w:rPr>
          <w:rFonts w:ascii="Open Sans" w:hAnsi="Open Sans" w:cs="Open Sans"/>
          <w:color w:val="000000"/>
        </w:rPr>
      </w:pPr>
      <w:r>
        <w:rPr>
          <w:color w:val="000000"/>
          <w:sz w:val="20"/>
          <w:szCs w:val="20"/>
          <w:bdr w:val="none" w:sz="0" w:space="0" w:color="auto" w:frame="1"/>
        </w:rPr>
        <w:t>            In a speech made to students, Dr. Martin Luther King Jr. advised, “If you can’t fly then run, if you can’t run then walk, if you can’t walk then crawl, but whatever you do you have to keep moving forward” (Connors, 2019, para. 14). This wisdom, though initially intended for young people, applies to organizations wishing to remain competitive – they must continue to move forward. How organizations establish the direction in which to move is the subject of this discussion board post. The process of setting the direction through strategy is discussed first, followed by an examination of one of the key advantages of a good strategy.  Before concluding, the post will explore decision models that may aid in the development of a good strategy.</w:t>
      </w:r>
    </w:p>
    <w:p w:rsidR="00102572" w:rsidRDefault="00102572" w:rsidP="00102572">
      <w:pPr>
        <w:pStyle w:val="NormalWeb"/>
        <w:shd w:val="clear" w:color="auto" w:fill="E6E6E6"/>
        <w:spacing w:before="0" w:beforeAutospacing="0" w:after="0" w:afterAutospacing="0" w:line="390" w:lineRule="atLeast"/>
        <w:jc w:val="center"/>
        <w:rPr>
          <w:rFonts w:ascii="Open Sans" w:hAnsi="Open Sans" w:cs="Open Sans"/>
          <w:color w:val="000000"/>
        </w:rPr>
      </w:pPr>
      <w:r>
        <w:rPr>
          <w:b/>
          <w:bCs/>
          <w:color w:val="000000"/>
          <w:sz w:val="20"/>
          <w:szCs w:val="20"/>
          <w:bdr w:val="none" w:sz="0" w:space="0" w:color="auto" w:frame="1"/>
        </w:rPr>
        <w:t>Process: Setting the Company’s Direction with Strategy</w:t>
      </w:r>
    </w:p>
    <w:p w:rsidR="00102572" w:rsidRDefault="00102572" w:rsidP="00102572">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sz w:val="20"/>
          <w:szCs w:val="20"/>
          <w:bdr w:val="none" w:sz="0" w:space="0" w:color="auto" w:frame="1"/>
        </w:rPr>
        <w:t>An organization’s strategy helps establish and maintain its direction (</w:t>
      </w:r>
      <w:proofErr w:type="spellStart"/>
      <w:r>
        <w:rPr>
          <w:color w:val="000000"/>
          <w:sz w:val="20"/>
          <w:szCs w:val="20"/>
          <w:bdr w:val="none" w:sz="0" w:space="0" w:color="auto" w:frame="1"/>
        </w:rPr>
        <w:t>Khalifa</w:t>
      </w:r>
      <w:proofErr w:type="spellEnd"/>
      <w:r>
        <w:rPr>
          <w:color w:val="000000"/>
          <w:sz w:val="20"/>
          <w:szCs w:val="20"/>
          <w:bdr w:val="none" w:sz="0" w:space="0" w:color="auto" w:frame="1"/>
        </w:rPr>
        <w:t xml:space="preserve">, 2020a). Part of this direction comes from the development of the organization’s vision, mission, and core values (Gamble et al., 2021). </w:t>
      </w:r>
      <w:proofErr w:type="spellStart"/>
      <w:r>
        <w:rPr>
          <w:color w:val="000000"/>
          <w:sz w:val="20"/>
          <w:szCs w:val="20"/>
          <w:bdr w:val="none" w:sz="0" w:space="0" w:color="auto" w:frame="1"/>
        </w:rPr>
        <w:t>Rumelt</w:t>
      </w:r>
      <w:proofErr w:type="spellEnd"/>
      <w:r>
        <w:rPr>
          <w:color w:val="000000"/>
          <w:sz w:val="20"/>
          <w:szCs w:val="20"/>
          <w:bdr w:val="none" w:sz="0" w:space="0" w:color="auto" w:frame="1"/>
        </w:rPr>
        <w:t> (2011), however, suggests that the development of the vision, mission, etc. is not the essence of creating a directional strategy to guide the organization, though those elements do play a supporting role. The foundational work of setting the vision, mission, etc. also helps establish the organization’s culture, which, like a good strategy, is essential to an organization’s sustainable competitive success (</w:t>
      </w:r>
      <w:proofErr w:type="spellStart"/>
      <w:r>
        <w:rPr>
          <w:color w:val="000000"/>
          <w:sz w:val="20"/>
          <w:szCs w:val="20"/>
          <w:bdr w:val="none" w:sz="0" w:space="0" w:color="auto" w:frame="1"/>
        </w:rPr>
        <w:t>Kaul</w:t>
      </w:r>
      <w:proofErr w:type="spellEnd"/>
      <w:r>
        <w:rPr>
          <w:color w:val="000000"/>
          <w:sz w:val="20"/>
          <w:szCs w:val="20"/>
          <w:bdr w:val="none" w:sz="0" w:space="0" w:color="auto" w:frame="1"/>
        </w:rPr>
        <w:t>, 2019). The intentional development of a particular culture may even be part of an organization’s strategy (</w:t>
      </w:r>
      <w:proofErr w:type="spellStart"/>
      <w:r>
        <w:rPr>
          <w:color w:val="000000"/>
          <w:sz w:val="20"/>
          <w:szCs w:val="20"/>
          <w:bdr w:val="none" w:sz="0" w:space="0" w:color="auto" w:frame="1"/>
        </w:rPr>
        <w:t>Kaul</w:t>
      </w:r>
      <w:proofErr w:type="spellEnd"/>
      <w:r>
        <w:rPr>
          <w:color w:val="000000"/>
          <w:sz w:val="20"/>
          <w:szCs w:val="20"/>
          <w:bdr w:val="none" w:sz="0" w:space="0" w:color="auto" w:frame="1"/>
        </w:rPr>
        <w:t>, 2019). Once established, there is a synergy between the intentionally created culture and the firm’s corporate strategy as the culture can drive the org to strategic success (</w:t>
      </w:r>
      <w:proofErr w:type="spellStart"/>
      <w:r>
        <w:rPr>
          <w:color w:val="000000"/>
          <w:sz w:val="20"/>
          <w:szCs w:val="20"/>
          <w:bdr w:val="none" w:sz="0" w:space="0" w:color="auto" w:frame="1"/>
        </w:rPr>
        <w:t>Kaul</w:t>
      </w:r>
      <w:proofErr w:type="spellEnd"/>
      <w:r>
        <w:rPr>
          <w:color w:val="000000"/>
          <w:sz w:val="20"/>
          <w:szCs w:val="20"/>
          <w:bdr w:val="none" w:sz="0" w:space="0" w:color="auto" w:frame="1"/>
        </w:rPr>
        <w:t>, 2019).</w:t>
      </w:r>
    </w:p>
    <w:p w:rsidR="00102572" w:rsidRDefault="00102572" w:rsidP="00102572">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sz w:val="20"/>
          <w:szCs w:val="20"/>
          <w:bdr w:val="none" w:sz="0" w:space="0" w:color="auto" w:frame="1"/>
        </w:rPr>
        <w:t xml:space="preserve">Another way the strategic development process provides direction is through the development of organizational objectives (Gamble et al., 2021). Additionally, </w:t>
      </w:r>
      <w:proofErr w:type="spellStart"/>
      <w:r>
        <w:rPr>
          <w:color w:val="000000"/>
          <w:sz w:val="20"/>
          <w:szCs w:val="20"/>
          <w:bdr w:val="none" w:sz="0" w:space="0" w:color="auto" w:frame="1"/>
        </w:rPr>
        <w:t>Rumelt</w:t>
      </w:r>
      <w:proofErr w:type="spellEnd"/>
      <w:r>
        <w:rPr>
          <w:color w:val="000000"/>
          <w:sz w:val="20"/>
          <w:szCs w:val="20"/>
          <w:bdr w:val="none" w:sz="0" w:space="0" w:color="auto" w:frame="1"/>
        </w:rPr>
        <w:t xml:space="preserve"> (2011) suggests that setting more short-term </w:t>
      </w:r>
      <w:r>
        <w:rPr>
          <w:color w:val="000000"/>
          <w:sz w:val="20"/>
          <w:szCs w:val="20"/>
          <w:bdr w:val="none" w:sz="0" w:space="0" w:color="auto" w:frame="1"/>
        </w:rPr>
        <w:lastRenderedPageBreak/>
        <w:t>goals is better when the situation is complex or uncertain. Though goal setting is important to focus the actions of the organization in a particular direction, a strategy is more than just “a way to achieve objectives” (</w:t>
      </w:r>
      <w:proofErr w:type="spellStart"/>
      <w:r>
        <w:rPr>
          <w:color w:val="000000"/>
          <w:sz w:val="20"/>
          <w:szCs w:val="20"/>
          <w:bdr w:val="none" w:sz="0" w:space="0" w:color="auto" w:frame="1"/>
        </w:rPr>
        <w:t>Khalifa</w:t>
      </w:r>
      <w:proofErr w:type="spellEnd"/>
      <w:r>
        <w:rPr>
          <w:color w:val="000000"/>
          <w:sz w:val="20"/>
          <w:szCs w:val="20"/>
          <w:bdr w:val="none" w:sz="0" w:space="0" w:color="auto" w:frame="1"/>
        </w:rPr>
        <w:t>, 2020a).</w:t>
      </w:r>
    </w:p>
    <w:p w:rsidR="00102572" w:rsidRDefault="00102572" w:rsidP="00102572">
      <w:pPr>
        <w:pStyle w:val="NormalWeb"/>
        <w:shd w:val="clear" w:color="auto" w:fill="E6E6E6"/>
        <w:spacing w:before="0" w:beforeAutospacing="0" w:after="0" w:afterAutospacing="0" w:line="390" w:lineRule="atLeast"/>
        <w:jc w:val="center"/>
        <w:rPr>
          <w:rFonts w:ascii="Open Sans" w:hAnsi="Open Sans" w:cs="Open Sans"/>
          <w:color w:val="000000"/>
        </w:rPr>
      </w:pPr>
      <w:r>
        <w:rPr>
          <w:b/>
          <w:bCs/>
          <w:color w:val="000000"/>
          <w:sz w:val="20"/>
          <w:szCs w:val="20"/>
          <w:bdr w:val="none" w:sz="0" w:space="0" w:color="auto" w:frame="1"/>
        </w:rPr>
        <w:t>Strategic Thinking: Discussion of a Key Advantage</w:t>
      </w:r>
    </w:p>
    <w:p w:rsidR="00102572" w:rsidRDefault="00102572" w:rsidP="00102572">
      <w:pPr>
        <w:pStyle w:val="NormalWeb"/>
        <w:shd w:val="clear" w:color="auto" w:fill="E6E6E6"/>
        <w:spacing w:before="0" w:beforeAutospacing="0" w:after="0" w:afterAutospacing="0" w:line="390" w:lineRule="atLeast"/>
        <w:ind w:firstLine="720"/>
        <w:rPr>
          <w:rFonts w:ascii="Open Sans" w:hAnsi="Open Sans" w:cs="Open Sans"/>
          <w:color w:val="000000"/>
        </w:rPr>
      </w:pPr>
      <w:proofErr w:type="spellStart"/>
      <w:r>
        <w:rPr>
          <w:color w:val="000000"/>
          <w:sz w:val="20"/>
          <w:szCs w:val="20"/>
          <w:bdr w:val="none" w:sz="0" w:space="0" w:color="auto" w:frame="1"/>
        </w:rPr>
        <w:t>Rumelt</w:t>
      </w:r>
      <w:proofErr w:type="spellEnd"/>
      <w:r>
        <w:rPr>
          <w:color w:val="000000"/>
          <w:sz w:val="20"/>
          <w:szCs w:val="20"/>
          <w:bdr w:val="none" w:sz="0" w:space="0" w:color="auto" w:frame="1"/>
        </w:rPr>
        <w:t xml:space="preserve"> (2011) suggests that one of the key advantages of having a good strategy is that most organizations do not have one. Thus, by having a good strategy an organization has already differentiated itself from many of its competitors. However, it should be noted that </w:t>
      </w:r>
      <w:proofErr w:type="spellStart"/>
      <w:r>
        <w:rPr>
          <w:color w:val="000000"/>
          <w:sz w:val="20"/>
          <w:szCs w:val="20"/>
          <w:bdr w:val="none" w:sz="0" w:space="0" w:color="auto" w:frame="1"/>
        </w:rPr>
        <w:t>Rumelt</w:t>
      </w:r>
      <w:proofErr w:type="spellEnd"/>
      <w:r>
        <w:rPr>
          <w:color w:val="000000"/>
          <w:sz w:val="20"/>
          <w:szCs w:val="20"/>
          <w:bdr w:val="none" w:sz="0" w:space="0" w:color="auto" w:frame="1"/>
        </w:rPr>
        <w:t xml:space="preserve"> (2011) differentiates between a lack of strategy and a bad strategy. </w:t>
      </w:r>
      <w:proofErr w:type="spellStart"/>
      <w:r>
        <w:rPr>
          <w:color w:val="000000"/>
          <w:sz w:val="20"/>
          <w:szCs w:val="20"/>
          <w:bdr w:val="none" w:sz="0" w:space="0" w:color="auto" w:frame="1"/>
        </w:rPr>
        <w:t>Khalifa</w:t>
      </w:r>
      <w:proofErr w:type="spellEnd"/>
      <w:r>
        <w:rPr>
          <w:color w:val="000000"/>
          <w:sz w:val="20"/>
          <w:szCs w:val="20"/>
          <w:bdr w:val="none" w:sz="0" w:space="0" w:color="auto" w:frame="1"/>
        </w:rPr>
        <w:t xml:space="preserve"> (2020a) agrees and takes the concept a step further by providing separate definitions for bad strategy, </w:t>
      </w:r>
      <w:proofErr w:type="spellStart"/>
      <w:r>
        <w:rPr>
          <w:color w:val="000000"/>
          <w:sz w:val="20"/>
          <w:szCs w:val="20"/>
          <w:bdr w:val="none" w:sz="0" w:space="0" w:color="auto" w:frame="1"/>
        </w:rPr>
        <w:t>nonstrategy</w:t>
      </w:r>
      <w:proofErr w:type="spellEnd"/>
      <w:r>
        <w:rPr>
          <w:color w:val="000000"/>
          <w:sz w:val="20"/>
          <w:szCs w:val="20"/>
          <w:bdr w:val="none" w:sz="0" w:space="0" w:color="auto" w:frame="1"/>
        </w:rPr>
        <w:t xml:space="preserve">, and no strategy. </w:t>
      </w:r>
      <w:proofErr w:type="spellStart"/>
      <w:r>
        <w:rPr>
          <w:color w:val="000000"/>
          <w:sz w:val="20"/>
          <w:szCs w:val="20"/>
          <w:bdr w:val="none" w:sz="0" w:space="0" w:color="auto" w:frame="1"/>
        </w:rPr>
        <w:t>Khalifa</w:t>
      </w:r>
      <w:proofErr w:type="spellEnd"/>
      <w:r>
        <w:rPr>
          <w:color w:val="000000"/>
          <w:sz w:val="20"/>
          <w:szCs w:val="20"/>
          <w:bdr w:val="none" w:sz="0" w:space="0" w:color="auto" w:frame="1"/>
        </w:rPr>
        <w:t xml:space="preserve"> defines </w:t>
      </w:r>
      <w:proofErr w:type="spellStart"/>
      <w:r>
        <w:rPr>
          <w:color w:val="000000"/>
          <w:sz w:val="20"/>
          <w:szCs w:val="20"/>
          <w:bdr w:val="none" w:sz="0" w:space="0" w:color="auto" w:frame="1"/>
        </w:rPr>
        <w:t>nonstrategy</w:t>
      </w:r>
      <w:proofErr w:type="spellEnd"/>
      <w:r>
        <w:rPr>
          <w:color w:val="000000"/>
          <w:sz w:val="20"/>
          <w:szCs w:val="20"/>
          <w:bdr w:val="none" w:sz="0" w:space="0" w:color="auto" w:frame="1"/>
        </w:rPr>
        <w:t xml:space="preserve"> as “a claim of strategy [that] does not fulfill the defining characteristics of strategy” such as being “a guiding policy and/or coherent set of actions” that provides direction and focus for the organization (p. 44). He argues that what </w:t>
      </w:r>
      <w:proofErr w:type="spellStart"/>
      <w:r>
        <w:rPr>
          <w:color w:val="000000"/>
          <w:sz w:val="20"/>
          <w:szCs w:val="20"/>
          <w:bdr w:val="none" w:sz="0" w:space="0" w:color="auto" w:frame="1"/>
        </w:rPr>
        <w:t>Rumelt</w:t>
      </w:r>
      <w:proofErr w:type="spellEnd"/>
      <w:r>
        <w:rPr>
          <w:color w:val="000000"/>
          <w:sz w:val="20"/>
          <w:szCs w:val="20"/>
          <w:bdr w:val="none" w:sz="0" w:space="0" w:color="auto" w:frame="1"/>
        </w:rPr>
        <w:t xml:space="preserve"> (2011) defines as bad strategy is more accurately defined as </w:t>
      </w:r>
      <w:proofErr w:type="spellStart"/>
      <w:r>
        <w:rPr>
          <w:color w:val="000000"/>
          <w:sz w:val="20"/>
          <w:szCs w:val="20"/>
          <w:bdr w:val="none" w:sz="0" w:space="0" w:color="auto" w:frame="1"/>
        </w:rPr>
        <w:t>nonstrategy</w:t>
      </w:r>
      <w:proofErr w:type="spellEnd"/>
      <w:r>
        <w:rPr>
          <w:color w:val="000000"/>
          <w:sz w:val="20"/>
          <w:szCs w:val="20"/>
          <w:bdr w:val="none" w:sz="0" w:space="0" w:color="auto" w:frame="1"/>
        </w:rPr>
        <w:t xml:space="preserve">. Both </w:t>
      </w:r>
      <w:proofErr w:type="spellStart"/>
      <w:r>
        <w:rPr>
          <w:color w:val="000000"/>
          <w:sz w:val="20"/>
          <w:szCs w:val="20"/>
          <w:bdr w:val="none" w:sz="0" w:space="0" w:color="auto" w:frame="1"/>
        </w:rPr>
        <w:t>Rumelt</w:t>
      </w:r>
      <w:proofErr w:type="spellEnd"/>
      <w:r>
        <w:rPr>
          <w:color w:val="000000"/>
          <w:sz w:val="20"/>
          <w:szCs w:val="20"/>
          <w:bdr w:val="none" w:sz="0" w:space="0" w:color="auto" w:frame="1"/>
        </w:rPr>
        <w:t xml:space="preserve"> (2011) and </w:t>
      </w:r>
      <w:proofErr w:type="spellStart"/>
      <w:r>
        <w:rPr>
          <w:color w:val="000000"/>
          <w:sz w:val="20"/>
          <w:szCs w:val="20"/>
          <w:bdr w:val="none" w:sz="0" w:space="0" w:color="auto" w:frame="1"/>
        </w:rPr>
        <w:t>Khalifa</w:t>
      </w:r>
      <w:proofErr w:type="spellEnd"/>
      <w:r>
        <w:rPr>
          <w:color w:val="000000"/>
          <w:sz w:val="20"/>
          <w:szCs w:val="20"/>
          <w:bdr w:val="none" w:sz="0" w:space="0" w:color="auto" w:frame="1"/>
        </w:rPr>
        <w:t xml:space="preserve"> (2020a) agree, however, that good strategy is made more significant by its absence among competitors. </w:t>
      </w:r>
      <w:proofErr w:type="spellStart"/>
      <w:r>
        <w:rPr>
          <w:color w:val="000000"/>
          <w:sz w:val="20"/>
          <w:szCs w:val="20"/>
          <w:bdr w:val="none" w:sz="0" w:space="0" w:color="auto" w:frame="1"/>
        </w:rPr>
        <w:t>Khalifa</w:t>
      </w:r>
      <w:proofErr w:type="spellEnd"/>
      <w:r>
        <w:rPr>
          <w:color w:val="000000"/>
          <w:sz w:val="20"/>
          <w:szCs w:val="20"/>
          <w:bdr w:val="none" w:sz="0" w:space="0" w:color="auto" w:frame="1"/>
        </w:rPr>
        <w:t> (2020a) suggests that a significant contributor to the lack of good strategy among many organizations is misconceptions about the true definition of strategy. As the term is currently used to describe such disparate things from cooking a stew to positioning an organization’s product in the marketplace to choosing an outfit for a meeting, it is no surprise that many companies and individuals misunderstand strategy (</w:t>
      </w:r>
      <w:proofErr w:type="spellStart"/>
      <w:r>
        <w:rPr>
          <w:color w:val="000000"/>
          <w:sz w:val="20"/>
          <w:szCs w:val="20"/>
          <w:bdr w:val="none" w:sz="0" w:space="0" w:color="auto" w:frame="1"/>
        </w:rPr>
        <w:t>Khalifa</w:t>
      </w:r>
      <w:proofErr w:type="spellEnd"/>
      <w:r>
        <w:rPr>
          <w:color w:val="000000"/>
          <w:sz w:val="20"/>
          <w:szCs w:val="20"/>
          <w:bdr w:val="none" w:sz="0" w:space="0" w:color="auto" w:frame="1"/>
        </w:rPr>
        <w:t>, 2020a).</w:t>
      </w:r>
    </w:p>
    <w:p w:rsidR="00102572" w:rsidRDefault="00102572" w:rsidP="00102572">
      <w:pPr>
        <w:pStyle w:val="NormalWeb"/>
        <w:shd w:val="clear" w:color="auto" w:fill="E6E6E6"/>
        <w:spacing w:before="0" w:beforeAutospacing="0" w:after="0" w:afterAutospacing="0" w:line="390" w:lineRule="atLeast"/>
        <w:jc w:val="center"/>
        <w:rPr>
          <w:rFonts w:ascii="Open Sans" w:hAnsi="Open Sans" w:cs="Open Sans"/>
          <w:color w:val="000000"/>
        </w:rPr>
      </w:pPr>
      <w:r>
        <w:rPr>
          <w:b/>
          <w:bCs/>
          <w:color w:val="000000"/>
          <w:sz w:val="20"/>
          <w:szCs w:val="20"/>
          <w:bdr w:val="none" w:sz="0" w:space="0" w:color="auto" w:frame="1"/>
        </w:rPr>
        <w:t>Decision Models</w:t>
      </w:r>
    </w:p>
    <w:p w:rsidR="00102572" w:rsidRDefault="00102572" w:rsidP="00102572">
      <w:pPr>
        <w:pStyle w:val="NormalWeb"/>
        <w:shd w:val="clear" w:color="auto" w:fill="E6E6E6"/>
        <w:spacing w:before="0" w:beforeAutospacing="0" w:after="0" w:afterAutospacing="0" w:line="390" w:lineRule="atLeast"/>
        <w:rPr>
          <w:rFonts w:ascii="Open Sans" w:hAnsi="Open Sans" w:cs="Open Sans"/>
          <w:color w:val="000000"/>
        </w:rPr>
      </w:pPr>
      <w:r>
        <w:rPr>
          <w:color w:val="000000"/>
          <w:sz w:val="20"/>
          <w:szCs w:val="20"/>
          <w:bdr w:val="none" w:sz="0" w:space="0" w:color="auto" w:frame="1"/>
        </w:rPr>
        <w:t xml:space="preserve">            The SWOT analysis can be a useful tool in the diagnosis portion of strategy development and structure, as defined by </w:t>
      </w:r>
      <w:proofErr w:type="spellStart"/>
      <w:r>
        <w:rPr>
          <w:color w:val="000000"/>
          <w:sz w:val="20"/>
          <w:szCs w:val="20"/>
          <w:bdr w:val="none" w:sz="0" w:space="0" w:color="auto" w:frame="1"/>
        </w:rPr>
        <w:t>Rumelt</w:t>
      </w:r>
      <w:proofErr w:type="spellEnd"/>
      <w:r>
        <w:rPr>
          <w:color w:val="000000"/>
          <w:sz w:val="20"/>
          <w:szCs w:val="20"/>
          <w:bdr w:val="none" w:sz="0" w:space="0" w:color="auto" w:frame="1"/>
        </w:rPr>
        <w:t> (2011). By examining the strengths and weaknesses of the organization as well as the opportunities and threats presenting in its competitive context, the SWOT analysis helps the firm define the challenge it must overcome (</w:t>
      </w:r>
      <w:proofErr w:type="spellStart"/>
      <w:r>
        <w:rPr>
          <w:color w:val="000000"/>
          <w:sz w:val="20"/>
          <w:szCs w:val="20"/>
          <w:bdr w:val="none" w:sz="0" w:space="0" w:color="auto" w:frame="1"/>
        </w:rPr>
        <w:t>Krogerus</w:t>
      </w:r>
      <w:proofErr w:type="spellEnd"/>
      <w:r>
        <w:rPr>
          <w:color w:val="000000"/>
          <w:sz w:val="20"/>
          <w:szCs w:val="20"/>
          <w:bdr w:val="none" w:sz="0" w:space="0" w:color="auto" w:frame="1"/>
        </w:rPr>
        <w:t xml:space="preserve"> et al., 2018; </w:t>
      </w:r>
      <w:proofErr w:type="spellStart"/>
      <w:r>
        <w:rPr>
          <w:color w:val="000000"/>
          <w:sz w:val="20"/>
          <w:szCs w:val="20"/>
          <w:bdr w:val="none" w:sz="0" w:space="0" w:color="auto" w:frame="1"/>
        </w:rPr>
        <w:t>Rumelt</w:t>
      </w:r>
      <w:proofErr w:type="spellEnd"/>
      <w:r>
        <w:rPr>
          <w:color w:val="000000"/>
          <w:sz w:val="20"/>
          <w:szCs w:val="20"/>
          <w:bdr w:val="none" w:sz="0" w:space="0" w:color="auto" w:frame="1"/>
        </w:rPr>
        <w:t>, 2011). However, the SWOT analysis falls short in providing substance for the two remaining aspects of the “kernel” of good strategy – “a guiding policy” and “set of coherent actions” (</w:t>
      </w:r>
      <w:proofErr w:type="spellStart"/>
      <w:r>
        <w:rPr>
          <w:color w:val="000000"/>
          <w:sz w:val="20"/>
          <w:szCs w:val="20"/>
          <w:bdr w:val="none" w:sz="0" w:space="0" w:color="auto" w:frame="1"/>
        </w:rPr>
        <w:t>Rumelt</w:t>
      </w:r>
      <w:proofErr w:type="spellEnd"/>
      <w:r>
        <w:rPr>
          <w:color w:val="000000"/>
          <w:sz w:val="20"/>
          <w:szCs w:val="20"/>
          <w:bdr w:val="none" w:sz="0" w:space="0" w:color="auto" w:frame="1"/>
        </w:rPr>
        <w:t>, 2011, p. 76). The SWOT analysis can provide the initial direction but cannot help plot the course.</w:t>
      </w:r>
    </w:p>
    <w:p w:rsidR="00102572" w:rsidRDefault="00102572" w:rsidP="00102572">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sz w:val="20"/>
          <w:szCs w:val="20"/>
          <w:bdr w:val="none" w:sz="0" w:space="0" w:color="auto" w:frame="1"/>
        </w:rPr>
        <w:t>Another possible model for diagnosis is the Pareto Principle (</w:t>
      </w:r>
      <w:proofErr w:type="spellStart"/>
      <w:r>
        <w:rPr>
          <w:color w:val="000000"/>
          <w:sz w:val="20"/>
          <w:szCs w:val="20"/>
          <w:bdr w:val="none" w:sz="0" w:space="0" w:color="auto" w:frame="1"/>
        </w:rPr>
        <w:t>Krogerus</w:t>
      </w:r>
      <w:proofErr w:type="spellEnd"/>
      <w:r>
        <w:rPr>
          <w:color w:val="000000"/>
          <w:sz w:val="20"/>
          <w:szCs w:val="20"/>
          <w:bdr w:val="none" w:sz="0" w:space="0" w:color="auto" w:frame="1"/>
        </w:rPr>
        <w:t xml:space="preserve"> et al., 2018). The model suggests that the majority (80 percent) of problems, opportunities, or outputs are generated by a small minority (20 percent) of the inputs (</w:t>
      </w:r>
      <w:proofErr w:type="spellStart"/>
      <w:r>
        <w:rPr>
          <w:color w:val="000000"/>
          <w:sz w:val="20"/>
          <w:szCs w:val="20"/>
          <w:bdr w:val="none" w:sz="0" w:space="0" w:color="auto" w:frame="1"/>
        </w:rPr>
        <w:t>Krogerus</w:t>
      </w:r>
      <w:proofErr w:type="spellEnd"/>
      <w:r>
        <w:rPr>
          <w:color w:val="000000"/>
          <w:sz w:val="20"/>
          <w:szCs w:val="20"/>
          <w:bdr w:val="none" w:sz="0" w:space="0" w:color="auto" w:frame="1"/>
        </w:rPr>
        <w:t xml:space="preserve"> et al., 2018). This is useful in determining where to focus attention. For example, 20 percent of an organization’s customers provide 80 percent of its sales revenue. Even when a direction is determined and a collection of guides established, there will continue to be risks that must be evaluated along the way. The Rumsfeld Matrix is a useful tool for evaluating risks by breaking them into four categories based on what is known and unknown, thus helping the decision-makers think about possible outcomes (</w:t>
      </w:r>
      <w:proofErr w:type="spellStart"/>
      <w:r>
        <w:rPr>
          <w:color w:val="000000"/>
          <w:sz w:val="20"/>
          <w:szCs w:val="20"/>
          <w:bdr w:val="none" w:sz="0" w:space="0" w:color="auto" w:frame="1"/>
        </w:rPr>
        <w:t>Krogerus</w:t>
      </w:r>
      <w:proofErr w:type="spellEnd"/>
      <w:r>
        <w:rPr>
          <w:color w:val="000000"/>
          <w:sz w:val="20"/>
          <w:szCs w:val="20"/>
          <w:bdr w:val="none" w:sz="0" w:space="0" w:color="auto" w:frame="1"/>
        </w:rPr>
        <w:t xml:space="preserve"> et al., 2018).</w:t>
      </w:r>
    </w:p>
    <w:p w:rsidR="00102572" w:rsidRDefault="00102572" w:rsidP="00102572">
      <w:pPr>
        <w:pStyle w:val="NormalWeb"/>
        <w:shd w:val="clear" w:color="auto" w:fill="E6E6E6"/>
        <w:spacing w:before="0" w:beforeAutospacing="0" w:after="0" w:afterAutospacing="0" w:line="390" w:lineRule="atLeast"/>
        <w:jc w:val="center"/>
        <w:rPr>
          <w:rFonts w:ascii="Open Sans" w:hAnsi="Open Sans" w:cs="Open Sans"/>
          <w:color w:val="000000"/>
        </w:rPr>
      </w:pPr>
      <w:r>
        <w:rPr>
          <w:b/>
          <w:bCs/>
          <w:color w:val="000000"/>
          <w:sz w:val="20"/>
          <w:szCs w:val="20"/>
          <w:bdr w:val="none" w:sz="0" w:space="0" w:color="auto" w:frame="1"/>
        </w:rPr>
        <w:t>Conclusion</w:t>
      </w:r>
    </w:p>
    <w:p w:rsidR="00102572" w:rsidRDefault="00102572" w:rsidP="00102572">
      <w:pPr>
        <w:pStyle w:val="NormalWeb"/>
        <w:shd w:val="clear" w:color="auto" w:fill="E6E6E6"/>
        <w:spacing w:before="0" w:beforeAutospacing="0" w:after="0" w:afterAutospacing="0" w:line="390" w:lineRule="atLeast"/>
        <w:rPr>
          <w:rFonts w:ascii="Open Sans" w:hAnsi="Open Sans" w:cs="Open Sans"/>
          <w:color w:val="000000"/>
        </w:rPr>
      </w:pPr>
      <w:r>
        <w:rPr>
          <w:color w:val="000000"/>
          <w:sz w:val="20"/>
          <w:szCs w:val="20"/>
          <w:bdr w:val="none" w:sz="0" w:space="0" w:color="auto" w:frame="1"/>
        </w:rPr>
        <w:lastRenderedPageBreak/>
        <w:t xml:space="preserve">            Good strategy, or simply strategy, as defined by </w:t>
      </w:r>
      <w:proofErr w:type="spellStart"/>
      <w:r>
        <w:rPr>
          <w:color w:val="000000"/>
          <w:sz w:val="20"/>
          <w:szCs w:val="20"/>
          <w:bdr w:val="none" w:sz="0" w:space="0" w:color="auto" w:frame="1"/>
        </w:rPr>
        <w:t>Khalifa</w:t>
      </w:r>
      <w:proofErr w:type="spellEnd"/>
      <w:r>
        <w:rPr>
          <w:color w:val="000000"/>
          <w:sz w:val="20"/>
          <w:szCs w:val="20"/>
          <w:bdr w:val="none" w:sz="0" w:space="0" w:color="auto" w:frame="1"/>
        </w:rPr>
        <w:t> (2020b), is a “cohesive core of guiding decisions” that lead the company toward competitive success (p. 136). An organization’s claimed strategy, when it contains the core elements of strategy, can guide and direct its action toward its objective of success. Culture and goal setting, though not strategies themselves, can aid a good strategy in providing direction. Though a good strategy is a key to competitive success, many organizations do not have a strategy or have a bad strategy, making the presence of a good strategy a valuable differentiator from the competition. Both the SWOT analysis and Pareto Principle may be useful models to diagnose the challenges facing the organization, which is an essential piece of a good strategy. Additionally, the Rumsfeld Matrix may aid the organization in assessing possible risks as it pushes toward its strategic direction. Whatever models are used to support it, a good strategy provides an aspirational direction and focus for organizations that take the time to develop one (</w:t>
      </w:r>
      <w:proofErr w:type="spellStart"/>
      <w:r>
        <w:rPr>
          <w:color w:val="000000"/>
          <w:sz w:val="20"/>
          <w:szCs w:val="20"/>
          <w:bdr w:val="none" w:sz="0" w:space="0" w:color="auto" w:frame="1"/>
        </w:rPr>
        <w:t>Khalifa</w:t>
      </w:r>
      <w:proofErr w:type="spellEnd"/>
      <w:r>
        <w:rPr>
          <w:color w:val="000000"/>
          <w:sz w:val="20"/>
          <w:szCs w:val="20"/>
          <w:bdr w:val="none" w:sz="0" w:space="0" w:color="auto" w:frame="1"/>
        </w:rPr>
        <w:t>, 2020a).</w:t>
      </w:r>
    </w:p>
    <w:p w:rsidR="00102572" w:rsidRDefault="00102572" w:rsidP="00102572">
      <w:pPr>
        <w:pStyle w:val="NormalWeb"/>
        <w:shd w:val="clear" w:color="auto" w:fill="E6E6E6"/>
        <w:spacing w:before="0" w:beforeAutospacing="0" w:after="0" w:afterAutospacing="0"/>
        <w:rPr>
          <w:rFonts w:ascii="Open Sans" w:hAnsi="Open Sans" w:cs="Open Sans"/>
          <w:color w:val="000000"/>
        </w:rPr>
      </w:pPr>
      <w:r>
        <w:rPr>
          <w:rFonts w:ascii="Open Sans" w:hAnsi="Open Sans" w:cs="Open Sans"/>
          <w:color w:val="000000"/>
          <w:bdr w:val="none" w:sz="0" w:space="0" w:color="auto" w:frame="1"/>
        </w:rPr>
        <w:br w:type="textWrapping" w:clear="all"/>
      </w:r>
      <w:r>
        <w:rPr>
          <w:rFonts w:ascii="Open Sans" w:hAnsi="Open Sans" w:cs="Open Sans"/>
          <w:color w:val="000000"/>
          <w:bdr w:val="none" w:sz="0" w:space="0" w:color="auto" w:frame="1"/>
        </w:rPr>
        <w:br/>
      </w:r>
    </w:p>
    <w:p w:rsidR="00102572" w:rsidRDefault="00102572" w:rsidP="00102572">
      <w:pPr>
        <w:pStyle w:val="NormalWeb"/>
        <w:shd w:val="clear" w:color="auto" w:fill="E6E6E6"/>
        <w:spacing w:before="0" w:beforeAutospacing="0" w:after="0" w:afterAutospacing="0" w:line="390" w:lineRule="atLeast"/>
        <w:rPr>
          <w:rFonts w:ascii="Open Sans" w:hAnsi="Open Sans" w:cs="Open Sans"/>
          <w:color w:val="000000"/>
        </w:rPr>
      </w:pPr>
      <w:r>
        <w:rPr>
          <w:color w:val="000000"/>
          <w:sz w:val="20"/>
          <w:szCs w:val="20"/>
          <w:bdr w:val="none" w:sz="0" w:space="0" w:color="auto" w:frame="1"/>
        </w:rPr>
        <w:t> </w:t>
      </w:r>
    </w:p>
    <w:p w:rsidR="00102572" w:rsidRDefault="00102572" w:rsidP="00102572">
      <w:pPr>
        <w:pStyle w:val="NormalWeb"/>
        <w:shd w:val="clear" w:color="auto" w:fill="E6E6E6"/>
        <w:spacing w:before="0" w:beforeAutospacing="0" w:after="0" w:afterAutospacing="0" w:line="390" w:lineRule="atLeast"/>
        <w:jc w:val="center"/>
        <w:rPr>
          <w:rFonts w:ascii="Open Sans" w:hAnsi="Open Sans" w:cs="Open Sans"/>
          <w:color w:val="000000"/>
        </w:rPr>
      </w:pPr>
      <w:r>
        <w:rPr>
          <w:b/>
          <w:bCs/>
          <w:color w:val="000000"/>
          <w:sz w:val="20"/>
          <w:szCs w:val="20"/>
          <w:bdr w:val="none" w:sz="0" w:space="0" w:color="auto" w:frame="1"/>
        </w:rPr>
        <w:t>References</w:t>
      </w:r>
    </w:p>
    <w:p w:rsidR="00102572" w:rsidRDefault="00102572" w:rsidP="00102572">
      <w:pPr>
        <w:pStyle w:val="NormalWeb"/>
        <w:shd w:val="clear" w:color="auto" w:fill="E6E6E6"/>
        <w:spacing w:before="0" w:beforeAutospacing="0" w:after="0" w:afterAutospacing="0"/>
        <w:rPr>
          <w:rFonts w:ascii="Open Sans" w:hAnsi="Open Sans" w:cs="Open Sans"/>
          <w:color w:val="000000"/>
        </w:rPr>
      </w:pPr>
      <w:r>
        <w:rPr>
          <w:color w:val="000000"/>
          <w:sz w:val="20"/>
          <w:szCs w:val="20"/>
          <w:bdr w:val="none" w:sz="0" w:space="0" w:color="auto" w:frame="1"/>
        </w:rPr>
        <w:t>Connors, C. D. (2019, January 22). </w:t>
      </w:r>
      <w:r>
        <w:rPr>
          <w:rFonts w:ascii="Open Sans" w:hAnsi="Open Sans" w:cs="Open Sans"/>
          <w:i/>
          <w:iCs/>
          <w:color w:val="000000"/>
          <w:sz w:val="20"/>
          <w:szCs w:val="20"/>
          <w:bdr w:val="none" w:sz="0" w:space="0" w:color="auto" w:frame="1"/>
        </w:rPr>
        <w:t>Always move forward—</w:t>
      </w:r>
      <w:proofErr w:type="gramStart"/>
      <w:r>
        <w:rPr>
          <w:rFonts w:ascii="Open Sans" w:hAnsi="Open Sans" w:cs="Open Sans"/>
          <w:i/>
          <w:iCs/>
          <w:color w:val="000000"/>
          <w:sz w:val="20"/>
          <w:szCs w:val="20"/>
          <w:bdr w:val="none" w:sz="0" w:space="0" w:color="auto" w:frame="1"/>
        </w:rPr>
        <w:t>The</w:t>
      </w:r>
      <w:proofErr w:type="gramEnd"/>
      <w:r>
        <w:rPr>
          <w:rFonts w:ascii="Open Sans" w:hAnsi="Open Sans" w:cs="Open Sans"/>
          <w:i/>
          <w:iCs/>
          <w:color w:val="000000"/>
          <w:sz w:val="20"/>
          <w:szCs w:val="20"/>
          <w:bdr w:val="none" w:sz="0" w:space="0" w:color="auto" w:frame="1"/>
        </w:rPr>
        <w:t xml:space="preserve"> genius of Dr. Martin Luther King Jr.</w:t>
      </w:r>
      <w:r>
        <w:rPr>
          <w:color w:val="000000"/>
          <w:sz w:val="20"/>
          <w:szCs w:val="20"/>
          <w:bdr w:val="none" w:sz="0" w:space="0" w:color="auto" w:frame="1"/>
        </w:rPr>
        <w:t> Medium. https://medium.com/swlh/always-move-forward-the-genius-of-dr-martin-luther-king-jr-ca15aa40f5e9</w:t>
      </w:r>
    </w:p>
    <w:p w:rsidR="00102572" w:rsidRDefault="00102572" w:rsidP="00102572">
      <w:pPr>
        <w:pStyle w:val="NormalWeb"/>
        <w:shd w:val="clear" w:color="auto" w:fill="E6E6E6"/>
        <w:spacing w:before="0" w:beforeAutospacing="0" w:after="0" w:afterAutospacing="0"/>
        <w:rPr>
          <w:rFonts w:ascii="Open Sans" w:hAnsi="Open Sans" w:cs="Open Sans"/>
          <w:color w:val="000000"/>
        </w:rPr>
      </w:pPr>
      <w:r>
        <w:rPr>
          <w:color w:val="000000"/>
          <w:sz w:val="20"/>
          <w:szCs w:val="20"/>
          <w:bdr w:val="none" w:sz="0" w:space="0" w:color="auto" w:frame="1"/>
        </w:rPr>
        <w:t xml:space="preserve">Gamble, J. E., </w:t>
      </w:r>
      <w:proofErr w:type="spellStart"/>
      <w:r>
        <w:rPr>
          <w:color w:val="000000"/>
          <w:sz w:val="20"/>
          <w:szCs w:val="20"/>
          <w:bdr w:val="none" w:sz="0" w:space="0" w:color="auto" w:frame="1"/>
        </w:rPr>
        <w:t>Peteraf</w:t>
      </w:r>
      <w:proofErr w:type="spellEnd"/>
      <w:r>
        <w:rPr>
          <w:color w:val="000000"/>
          <w:sz w:val="20"/>
          <w:szCs w:val="20"/>
          <w:bdr w:val="none" w:sz="0" w:space="0" w:color="auto" w:frame="1"/>
        </w:rPr>
        <w:t>, M. A., &amp; Thompson, A. A. (2021). </w:t>
      </w:r>
      <w:r>
        <w:rPr>
          <w:rFonts w:ascii="Open Sans" w:hAnsi="Open Sans" w:cs="Open Sans"/>
          <w:i/>
          <w:iCs/>
          <w:color w:val="000000"/>
          <w:sz w:val="20"/>
          <w:szCs w:val="20"/>
          <w:bdr w:val="none" w:sz="0" w:space="0" w:color="auto" w:frame="1"/>
        </w:rPr>
        <w:t>Essentials of strategic management: The quest for competitive advantage</w:t>
      </w:r>
      <w:r>
        <w:rPr>
          <w:color w:val="000000"/>
          <w:sz w:val="20"/>
          <w:szCs w:val="20"/>
          <w:bdr w:val="none" w:sz="0" w:space="0" w:color="auto" w:frame="1"/>
        </w:rPr>
        <w:t xml:space="preserve"> (7th </w:t>
      </w:r>
      <w:proofErr w:type="gramStart"/>
      <w:r>
        <w:rPr>
          <w:color w:val="000000"/>
          <w:sz w:val="20"/>
          <w:szCs w:val="20"/>
          <w:bdr w:val="none" w:sz="0" w:space="0" w:color="auto" w:frame="1"/>
        </w:rPr>
        <w:t>ed</w:t>
      </w:r>
      <w:proofErr w:type="gramEnd"/>
      <w:r>
        <w:rPr>
          <w:color w:val="000000"/>
          <w:sz w:val="20"/>
          <w:szCs w:val="20"/>
          <w:bdr w:val="none" w:sz="0" w:space="0" w:color="auto" w:frame="1"/>
        </w:rPr>
        <w:t>.). McGraw-Hill Education.</w:t>
      </w:r>
    </w:p>
    <w:p w:rsidR="00102572" w:rsidRDefault="00102572" w:rsidP="00102572">
      <w:pPr>
        <w:pStyle w:val="NormalWeb"/>
        <w:shd w:val="clear" w:color="auto" w:fill="E6E6E6"/>
        <w:spacing w:before="0" w:beforeAutospacing="0" w:after="0" w:afterAutospacing="0"/>
        <w:rPr>
          <w:rFonts w:ascii="Open Sans" w:hAnsi="Open Sans" w:cs="Open Sans"/>
          <w:color w:val="000000"/>
        </w:rPr>
      </w:pPr>
      <w:proofErr w:type="spellStart"/>
      <w:r>
        <w:rPr>
          <w:color w:val="000000"/>
          <w:sz w:val="20"/>
          <w:szCs w:val="20"/>
          <w:bdr w:val="none" w:sz="0" w:space="0" w:color="auto" w:frame="1"/>
        </w:rPr>
        <w:t>Kaul</w:t>
      </w:r>
      <w:proofErr w:type="spellEnd"/>
      <w:r>
        <w:rPr>
          <w:color w:val="000000"/>
          <w:sz w:val="20"/>
          <w:szCs w:val="20"/>
          <w:bdr w:val="none" w:sz="0" w:space="0" w:color="auto" w:frame="1"/>
        </w:rPr>
        <w:t>, A. (2019). Culture vs strategy: Which to precede, which to align? </w:t>
      </w:r>
      <w:r>
        <w:rPr>
          <w:rFonts w:ascii="Open Sans" w:hAnsi="Open Sans" w:cs="Open Sans"/>
          <w:i/>
          <w:iCs/>
          <w:color w:val="000000"/>
          <w:sz w:val="20"/>
          <w:szCs w:val="20"/>
          <w:bdr w:val="none" w:sz="0" w:space="0" w:color="auto" w:frame="1"/>
        </w:rPr>
        <w:t>Journal of Strategy and Management</w:t>
      </w:r>
      <w:r>
        <w:rPr>
          <w:color w:val="000000"/>
          <w:sz w:val="20"/>
          <w:szCs w:val="20"/>
          <w:bdr w:val="none" w:sz="0" w:space="0" w:color="auto" w:frame="1"/>
        </w:rPr>
        <w:t>, </w:t>
      </w:r>
      <w:r>
        <w:rPr>
          <w:rFonts w:ascii="Open Sans" w:hAnsi="Open Sans" w:cs="Open Sans"/>
          <w:i/>
          <w:iCs/>
          <w:color w:val="000000"/>
          <w:sz w:val="20"/>
          <w:szCs w:val="20"/>
          <w:bdr w:val="none" w:sz="0" w:space="0" w:color="auto" w:frame="1"/>
        </w:rPr>
        <w:t>12</w:t>
      </w:r>
      <w:r>
        <w:rPr>
          <w:color w:val="000000"/>
          <w:sz w:val="20"/>
          <w:szCs w:val="20"/>
          <w:bdr w:val="none" w:sz="0" w:space="0" w:color="auto" w:frame="1"/>
        </w:rPr>
        <w:t>(1), 116–136. http://dx.doi.org.ezproxy.liberty.edu/10.1108/JSMA-04-2018-0036</w:t>
      </w:r>
    </w:p>
    <w:p w:rsidR="00102572" w:rsidRDefault="00102572" w:rsidP="00102572">
      <w:pPr>
        <w:pStyle w:val="NormalWeb"/>
        <w:shd w:val="clear" w:color="auto" w:fill="E6E6E6"/>
        <w:spacing w:before="0" w:beforeAutospacing="0" w:after="0" w:afterAutospacing="0"/>
        <w:rPr>
          <w:rFonts w:ascii="Open Sans" w:hAnsi="Open Sans" w:cs="Open Sans"/>
          <w:color w:val="000000"/>
        </w:rPr>
      </w:pPr>
      <w:proofErr w:type="spellStart"/>
      <w:r>
        <w:rPr>
          <w:color w:val="000000"/>
          <w:sz w:val="20"/>
          <w:szCs w:val="20"/>
          <w:bdr w:val="none" w:sz="0" w:space="0" w:color="auto" w:frame="1"/>
        </w:rPr>
        <w:t>Khalifa</w:t>
      </w:r>
      <w:proofErr w:type="spellEnd"/>
      <w:r>
        <w:rPr>
          <w:color w:val="000000"/>
          <w:sz w:val="20"/>
          <w:szCs w:val="20"/>
          <w:bdr w:val="none" w:sz="0" w:space="0" w:color="auto" w:frame="1"/>
        </w:rPr>
        <w:t xml:space="preserve">, A. S. (2020a). Strategy, </w:t>
      </w:r>
      <w:proofErr w:type="spellStart"/>
      <w:r>
        <w:rPr>
          <w:color w:val="000000"/>
          <w:sz w:val="20"/>
          <w:szCs w:val="20"/>
          <w:bdr w:val="none" w:sz="0" w:space="0" w:color="auto" w:frame="1"/>
        </w:rPr>
        <w:t>nonstrategy</w:t>
      </w:r>
      <w:proofErr w:type="spellEnd"/>
      <w:r>
        <w:rPr>
          <w:color w:val="000000"/>
          <w:sz w:val="20"/>
          <w:szCs w:val="20"/>
          <w:bdr w:val="none" w:sz="0" w:space="0" w:color="auto" w:frame="1"/>
        </w:rPr>
        <w:t xml:space="preserve"> and no strategy. </w:t>
      </w:r>
      <w:r>
        <w:rPr>
          <w:rFonts w:ascii="Open Sans" w:hAnsi="Open Sans" w:cs="Open Sans"/>
          <w:i/>
          <w:iCs/>
          <w:color w:val="000000"/>
          <w:sz w:val="20"/>
          <w:szCs w:val="20"/>
          <w:bdr w:val="none" w:sz="0" w:space="0" w:color="auto" w:frame="1"/>
        </w:rPr>
        <w:t>Journal of Strategy and Management</w:t>
      </w:r>
      <w:r>
        <w:rPr>
          <w:color w:val="000000"/>
          <w:sz w:val="20"/>
          <w:szCs w:val="20"/>
          <w:bdr w:val="none" w:sz="0" w:space="0" w:color="auto" w:frame="1"/>
        </w:rPr>
        <w:t>, </w:t>
      </w:r>
      <w:r>
        <w:rPr>
          <w:rFonts w:ascii="Open Sans" w:hAnsi="Open Sans" w:cs="Open Sans"/>
          <w:i/>
          <w:iCs/>
          <w:color w:val="000000"/>
          <w:sz w:val="20"/>
          <w:szCs w:val="20"/>
          <w:bdr w:val="none" w:sz="0" w:space="0" w:color="auto" w:frame="1"/>
        </w:rPr>
        <w:t>14</w:t>
      </w:r>
      <w:r>
        <w:rPr>
          <w:color w:val="000000"/>
          <w:sz w:val="20"/>
          <w:szCs w:val="20"/>
          <w:bdr w:val="none" w:sz="0" w:space="0" w:color="auto" w:frame="1"/>
        </w:rPr>
        <w:t>(1), 35–49. http://dx.doi.org.ezproxy.liberty.edu/10.1108/JSMA-04-2020-0092</w:t>
      </w:r>
    </w:p>
    <w:p w:rsidR="00102572" w:rsidRDefault="00102572" w:rsidP="00102572">
      <w:pPr>
        <w:pStyle w:val="NormalWeb"/>
        <w:shd w:val="clear" w:color="auto" w:fill="E6E6E6"/>
        <w:spacing w:before="0" w:beforeAutospacing="0" w:after="0" w:afterAutospacing="0"/>
        <w:rPr>
          <w:rFonts w:ascii="Open Sans" w:hAnsi="Open Sans" w:cs="Open Sans"/>
          <w:color w:val="000000"/>
        </w:rPr>
      </w:pPr>
      <w:proofErr w:type="spellStart"/>
      <w:r>
        <w:rPr>
          <w:color w:val="000000"/>
          <w:sz w:val="20"/>
          <w:szCs w:val="20"/>
          <w:bdr w:val="none" w:sz="0" w:space="0" w:color="auto" w:frame="1"/>
        </w:rPr>
        <w:t>Khalifa</w:t>
      </w:r>
      <w:proofErr w:type="spellEnd"/>
      <w:r>
        <w:rPr>
          <w:color w:val="000000"/>
          <w:sz w:val="20"/>
          <w:szCs w:val="20"/>
          <w:bdr w:val="none" w:sz="0" w:space="0" w:color="auto" w:frame="1"/>
        </w:rPr>
        <w:t>, A. S. (2020b). Strategy: Restoring the lost meaning. </w:t>
      </w:r>
      <w:r>
        <w:rPr>
          <w:rFonts w:ascii="Open Sans" w:hAnsi="Open Sans" w:cs="Open Sans"/>
          <w:i/>
          <w:iCs/>
          <w:color w:val="000000"/>
          <w:sz w:val="20"/>
          <w:szCs w:val="20"/>
          <w:bdr w:val="none" w:sz="0" w:space="0" w:color="auto" w:frame="1"/>
        </w:rPr>
        <w:t>Journal of Strategy and Management</w:t>
      </w:r>
      <w:r>
        <w:rPr>
          <w:color w:val="000000"/>
          <w:sz w:val="20"/>
          <w:szCs w:val="20"/>
          <w:bdr w:val="none" w:sz="0" w:space="0" w:color="auto" w:frame="1"/>
        </w:rPr>
        <w:t>, </w:t>
      </w:r>
      <w:r>
        <w:rPr>
          <w:rFonts w:ascii="Open Sans" w:hAnsi="Open Sans" w:cs="Open Sans"/>
          <w:i/>
          <w:iCs/>
          <w:color w:val="000000"/>
          <w:sz w:val="20"/>
          <w:szCs w:val="20"/>
          <w:bdr w:val="none" w:sz="0" w:space="0" w:color="auto" w:frame="1"/>
        </w:rPr>
        <w:t>13</w:t>
      </w:r>
      <w:r>
        <w:rPr>
          <w:color w:val="000000"/>
          <w:sz w:val="20"/>
          <w:szCs w:val="20"/>
          <w:bdr w:val="none" w:sz="0" w:space="0" w:color="auto" w:frame="1"/>
        </w:rPr>
        <w:t>(1), 128–143.</w:t>
      </w:r>
    </w:p>
    <w:p w:rsidR="00102572" w:rsidRDefault="00102572" w:rsidP="00102572">
      <w:pPr>
        <w:pStyle w:val="NormalWeb"/>
        <w:shd w:val="clear" w:color="auto" w:fill="E6E6E6"/>
        <w:spacing w:before="0" w:beforeAutospacing="0" w:after="0" w:afterAutospacing="0"/>
        <w:rPr>
          <w:rFonts w:ascii="Open Sans" w:hAnsi="Open Sans" w:cs="Open Sans"/>
          <w:color w:val="000000"/>
        </w:rPr>
      </w:pPr>
      <w:proofErr w:type="spellStart"/>
      <w:r>
        <w:rPr>
          <w:color w:val="000000"/>
          <w:sz w:val="20"/>
          <w:szCs w:val="20"/>
          <w:bdr w:val="none" w:sz="0" w:space="0" w:color="auto" w:frame="1"/>
        </w:rPr>
        <w:t>Krogerus</w:t>
      </w:r>
      <w:proofErr w:type="spellEnd"/>
      <w:r>
        <w:rPr>
          <w:color w:val="000000"/>
          <w:sz w:val="20"/>
          <w:szCs w:val="20"/>
          <w:bdr w:val="none" w:sz="0" w:space="0" w:color="auto" w:frame="1"/>
        </w:rPr>
        <w:t xml:space="preserve">, M., </w:t>
      </w:r>
      <w:proofErr w:type="spellStart"/>
      <w:r>
        <w:rPr>
          <w:color w:val="000000"/>
          <w:sz w:val="20"/>
          <w:szCs w:val="20"/>
          <w:bdr w:val="none" w:sz="0" w:space="0" w:color="auto" w:frame="1"/>
        </w:rPr>
        <w:t>Tschäppeler</w:t>
      </w:r>
      <w:proofErr w:type="spellEnd"/>
      <w:r>
        <w:rPr>
          <w:color w:val="000000"/>
          <w:sz w:val="20"/>
          <w:szCs w:val="20"/>
          <w:bdr w:val="none" w:sz="0" w:space="0" w:color="auto" w:frame="1"/>
        </w:rPr>
        <w:t xml:space="preserve">, R., </w:t>
      </w:r>
      <w:proofErr w:type="spellStart"/>
      <w:r>
        <w:rPr>
          <w:color w:val="000000"/>
          <w:sz w:val="20"/>
          <w:szCs w:val="20"/>
          <w:bdr w:val="none" w:sz="0" w:space="0" w:color="auto" w:frame="1"/>
        </w:rPr>
        <w:t>Piening</w:t>
      </w:r>
      <w:proofErr w:type="spellEnd"/>
      <w:r>
        <w:rPr>
          <w:color w:val="000000"/>
          <w:sz w:val="20"/>
          <w:szCs w:val="20"/>
          <w:bdr w:val="none" w:sz="0" w:space="0" w:color="auto" w:frame="1"/>
        </w:rPr>
        <w:t xml:space="preserve">, J., &amp; </w:t>
      </w:r>
      <w:proofErr w:type="spellStart"/>
      <w:r>
        <w:rPr>
          <w:color w:val="000000"/>
          <w:sz w:val="20"/>
          <w:szCs w:val="20"/>
          <w:bdr w:val="none" w:sz="0" w:space="0" w:color="auto" w:frame="1"/>
        </w:rPr>
        <w:t>Earnhart</w:t>
      </w:r>
      <w:proofErr w:type="spellEnd"/>
      <w:r>
        <w:rPr>
          <w:color w:val="000000"/>
          <w:sz w:val="20"/>
          <w:szCs w:val="20"/>
          <w:bdr w:val="none" w:sz="0" w:space="0" w:color="auto" w:frame="1"/>
        </w:rPr>
        <w:t>, P. (2018). </w:t>
      </w:r>
      <w:r>
        <w:rPr>
          <w:rFonts w:ascii="Open Sans" w:hAnsi="Open Sans" w:cs="Open Sans"/>
          <w:i/>
          <w:iCs/>
          <w:color w:val="000000"/>
          <w:sz w:val="20"/>
          <w:szCs w:val="20"/>
          <w:bdr w:val="none" w:sz="0" w:space="0" w:color="auto" w:frame="1"/>
        </w:rPr>
        <w:t>The decision book: Fifty models for strategic thinking</w:t>
      </w:r>
      <w:r>
        <w:rPr>
          <w:color w:val="000000"/>
          <w:sz w:val="20"/>
          <w:szCs w:val="20"/>
          <w:bdr w:val="none" w:sz="0" w:space="0" w:color="auto" w:frame="1"/>
        </w:rPr>
        <w:t xml:space="preserve"> (2nd </w:t>
      </w:r>
      <w:proofErr w:type="gramStart"/>
      <w:r>
        <w:rPr>
          <w:color w:val="000000"/>
          <w:sz w:val="20"/>
          <w:szCs w:val="20"/>
          <w:bdr w:val="none" w:sz="0" w:space="0" w:color="auto" w:frame="1"/>
        </w:rPr>
        <w:t>ed</w:t>
      </w:r>
      <w:proofErr w:type="gramEnd"/>
      <w:r>
        <w:rPr>
          <w:color w:val="000000"/>
          <w:sz w:val="20"/>
          <w:szCs w:val="20"/>
          <w:bdr w:val="none" w:sz="0" w:space="0" w:color="auto" w:frame="1"/>
        </w:rPr>
        <w:t>.). W. W. Norton &amp; Company.</w:t>
      </w:r>
    </w:p>
    <w:p w:rsidR="00102572" w:rsidRDefault="00102572" w:rsidP="00102572">
      <w:pPr>
        <w:pStyle w:val="NormalWeb"/>
        <w:shd w:val="clear" w:color="auto" w:fill="E6E6E6"/>
        <w:spacing w:before="0" w:beforeAutospacing="0" w:after="0" w:afterAutospacing="0"/>
        <w:rPr>
          <w:rFonts w:ascii="Open Sans" w:hAnsi="Open Sans" w:cs="Open Sans"/>
          <w:color w:val="000000"/>
        </w:rPr>
      </w:pPr>
      <w:proofErr w:type="spellStart"/>
      <w:r>
        <w:rPr>
          <w:color w:val="000000"/>
          <w:sz w:val="20"/>
          <w:szCs w:val="20"/>
          <w:bdr w:val="none" w:sz="0" w:space="0" w:color="auto" w:frame="1"/>
        </w:rPr>
        <w:t>Rumelt</w:t>
      </w:r>
      <w:proofErr w:type="spellEnd"/>
      <w:r>
        <w:rPr>
          <w:color w:val="000000"/>
          <w:sz w:val="20"/>
          <w:szCs w:val="20"/>
          <w:bdr w:val="none" w:sz="0" w:space="0" w:color="auto" w:frame="1"/>
        </w:rPr>
        <w:t>, R. P. (2011). </w:t>
      </w:r>
      <w:r>
        <w:rPr>
          <w:rFonts w:ascii="Open Sans" w:hAnsi="Open Sans" w:cs="Open Sans"/>
          <w:i/>
          <w:iCs/>
          <w:color w:val="000000"/>
          <w:sz w:val="20"/>
          <w:szCs w:val="20"/>
          <w:bdr w:val="none" w:sz="0" w:space="0" w:color="auto" w:frame="1"/>
        </w:rPr>
        <w:t>Good strategy, bad strategy: The difference and why it matters</w:t>
      </w:r>
      <w:r>
        <w:rPr>
          <w:color w:val="000000"/>
          <w:sz w:val="20"/>
          <w:szCs w:val="20"/>
          <w:bdr w:val="none" w:sz="0" w:space="0" w:color="auto" w:frame="1"/>
        </w:rPr>
        <w:t xml:space="preserve"> (1st </w:t>
      </w:r>
      <w:proofErr w:type="spellStart"/>
      <w:proofErr w:type="gramStart"/>
      <w:r>
        <w:rPr>
          <w:color w:val="000000"/>
          <w:sz w:val="20"/>
          <w:szCs w:val="20"/>
          <w:bdr w:val="none" w:sz="0" w:space="0" w:color="auto" w:frame="1"/>
        </w:rPr>
        <w:t>ed</w:t>
      </w:r>
      <w:proofErr w:type="spellEnd"/>
      <w:proofErr w:type="gramEnd"/>
      <w:r>
        <w:rPr>
          <w:color w:val="000000"/>
          <w:sz w:val="20"/>
          <w:szCs w:val="20"/>
          <w:bdr w:val="none" w:sz="0" w:space="0" w:color="auto" w:frame="1"/>
        </w:rPr>
        <w:t>). Crown Business.</w:t>
      </w:r>
    </w:p>
    <w:p w:rsidR="00102572" w:rsidRDefault="00102572" w:rsidP="00102572">
      <w:pPr>
        <w:pStyle w:val="NormalWeb"/>
        <w:shd w:val="clear" w:color="auto" w:fill="E6E6E6"/>
        <w:spacing w:before="0" w:beforeAutospacing="0" w:after="0" w:afterAutospacing="0" w:line="390" w:lineRule="atLeast"/>
        <w:rPr>
          <w:rFonts w:ascii="Open Sans" w:hAnsi="Open Sans" w:cs="Open Sans"/>
          <w:color w:val="000000"/>
        </w:rPr>
      </w:pPr>
      <w:r>
        <w:rPr>
          <w:rFonts w:ascii="Open Sans" w:hAnsi="Open Sans" w:cs="Open Sans"/>
          <w:color w:val="000000"/>
          <w:sz w:val="20"/>
          <w:szCs w:val="20"/>
          <w:bdr w:val="none" w:sz="0" w:space="0" w:color="auto" w:frame="1"/>
        </w:rPr>
        <w:br w:type="textWrapping" w:clear="all"/>
      </w:r>
      <w:r>
        <w:rPr>
          <w:color w:val="000000"/>
          <w:sz w:val="20"/>
          <w:szCs w:val="20"/>
          <w:bdr w:val="none" w:sz="0" w:space="0" w:color="auto" w:frame="1"/>
        </w:rPr>
        <w:t> </w:t>
      </w:r>
      <w:r>
        <w:rPr>
          <w:rFonts w:ascii="Open Sans" w:hAnsi="Open Sans" w:cs="Open Sans"/>
          <w:color w:val="000000"/>
          <w:sz w:val="20"/>
          <w:szCs w:val="20"/>
          <w:bdr w:val="none" w:sz="0" w:space="0" w:color="auto" w:frame="1"/>
        </w:rPr>
        <w:br/>
      </w:r>
    </w:p>
    <w:p w:rsidR="00102572" w:rsidRDefault="00102572" w:rsidP="00102572">
      <w:pPr>
        <w:pStyle w:val="NormalWeb"/>
        <w:shd w:val="clear" w:color="auto" w:fill="E6E6E6"/>
        <w:spacing w:before="0" w:beforeAutospacing="0" w:after="0" w:afterAutospacing="0" w:line="390" w:lineRule="atLeast"/>
        <w:jc w:val="center"/>
        <w:rPr>
          <w:rFonts w:ascii="Open Sans" w:hAnsi="Open Sans" w:cs="Open Sans"/>
          <w:color w:val="000000"/>
        </w:rPr>
      </w:pPr>
      <w:r>
        <w:rPr>
          <w:b/>
          <w:bCs/>
          <w:color w:val="000000"/>
          <w:sz w:val="20"/>
          <w:szCs w:val="20"/>
          <w:bdr w:val="none" w:sz="0" w:space="0" w:color="auto" w:frame="1"/>
        </w:rPr>
        <w:t>Appendix</w:t>
      </w:r>
    </w:p>
    <w:p w:rsidR="00102572" w:rsidRDefault="00102572" w:rsidP="00102572">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sz w:val="20"/>
          <w:szCs w:val="20"/>
          <w:bdr w:val="none" w:sz="0" w:space="0" w:color="auto" w:frame="1"/>
        </w:rPr>
        <w:t>Annotated Bibliography</w:t>
      </w:r>
    </w:p>
    <w:p w:rsidR="00102572" w:rsidRDefault="00102572" w:rsidP="00102572">
      <w:pPr>
        <w:pStyle w:val="NormalWeb"/>
        <w:shd w:val="clear" w:color="auto" w:fill="E6E6E6"/>
        <w:spacing w:before="0" w:beforeAutospacing="0" w:after="0" w:afterAutospacing="0" w:line="390" w:lineRule="atLeast"/>
        <w:rPr>
          <w:rFonts w:ascii="Open Sans" w:hAnsi="Open Sans" w:cs="Open Sans"/>
          <w:color w:val="000000"/>
        </w:rPr>
      </w:pPr>
      <w:proofErr w:type="spellStart"/>
      <w:r>
        <w:rPr>
          <w:color w:val="000000"/>
          <w:sz w:val="20"/>
          <w:szCs w:val="20"/>
          <w:bdr w:val="none" w:sz="0" w:space="0" w:color="auto" w:frame="1"/>
        </w:rPr>
        <w:t>Kaul</w:t>
      </w:r>
      <w:proofErr w:type="spellEnd"/>
      <w:r>
        <w:rPr>
          <w:color w:val="000000"/>
          <w:sz w:val="20"/>
          <w:szCs w:val="20"/>
          <w:bdr w:val="none" w:sz="0" w:space="0" w:color="auto" w:frame="1"/>
        </w:rPr>
        <w:t>, A. (2019). Culture vs strategy: Which to precede, which to align? </w:t>
      </w:r>
      <w:r>
        <w:rPr>
          <w:rFonts w:ascii="Open Sans" w:hAnsi="Open Sans" w:cs="Open Sans"/>
          <w:i/>
          <w:iCs/>
          <w:color w:val="000000"/>
          <w:sz w:val="20"/>
          <w:szCs w:val="20"/>
          <w:bdr w:val="none" w:sz="0" w:space="0" w:color="auto" w:frame="1"/>
        </w:rPr>
        <w:t>Journal of Strategy and Management</w:t>
      </w:r>
      <w:r>
        <w:rPr>
          <w:color w:val="000000"/>
          <w:sz w:val="20"/>
          <w:szCs w:val="20"/>
          <w:bdr w:val="none" w:sz="0" w:space="0" w:color="auto" w:frame="1"/>
        </w:rPr>
        <w:t>, </w:t>
      </w:r>
      <w:r>
        <w:rPr>
          <w:rFonts w:ascii="Open Sans" w:hAnsi="Open Sans" w:cs="Open Sans"/>
          <w:i/>
          <w:iCs/>
          <w:color w:val="000000"/>
          <w:sz w:val="20"/>
          <w:szCs w:val="20"/>
          <w:bdr w:val="none" w:sz="0" w:space="0" w:color="auto" w:frame="1"/>
        </w:rPr>
        <w:t>12</w:t>
      </w:r>
      <w:r>
        <w:rPr>
          <w:color w:val="000000"/>
          <w:sz w:val="20"/>
          <w:szCs w:val="20"/>
          <w:bdr w:val="none" w:sz="0" w:space="0" w:color="auto" w:frame="1"/>
        </w:rPr>
        <w:t>(1), 116–136. http://dx.doi.org.ezproxy.liberty.edu/10.1108/JSMA-04-2018-0036</w:t>
      </w:r>
    </w:p>
    <w:p w:rsidR="00102572" w:rsidRDefault="00102572" w:rsidP="00102572">
      <w:pPr>
        <w:pStyle w:val="NormalWeb"/>
        <w:shd w:val="clear" w:color="auto" w:fill="E6E6E6"/>
        <w:spacing w:before="0" w:beforeAutospacing="0" w:after="0" w:afterAutospacing="0" w:line="390" w:lineRule="atLeast"/>
        <w:ind w:left="720"/>
        <w:rPr>
          <w:rFonts w:ascii="Open Sans" w:hAnsi="Open Sans" w:cs="Open Sans"/>
          <w:color w:val="000000"/>
        </w:rPr>
      </w:pPr>
      <w:r>
        <w:rPr>
          <w:color w:val="000000"/>
          <w:sz w:val="20"/>
          <w:szCs w:val="20"/>
          <w:bdr w:val="none" w:sz="0" w:space="0" w:color="auto" w:frame="1"/>
        </w:rPr>
        <w:t xml:space="preserve">In his conceptual article, </w:t>
      </w:r>
      <w:proofErr w:type="spellStart"/>
      <w:r>
        <w:rPr>
          <w:color w:val="000000"/>
          <w:sz w:val="20"/>
          <w:szCs w:val="20"/>
          <w:bdr w:val="none" w:sz="0" w:space="0" w:color="auto" w:frame="1"/>
        </w:rPr>
        <w:t>Kaul</w:t>
      </w:r>
      <w:proofErr w:type="spellEnd"/>
      <w:r>
        <w:rPr>
          <w:color w:val="000000"/>
          <w:sz w:val="20"/>
          <w:szCs w:val="20"/>
          <w:bdr w:val="none" w:sz="0" w:space="0" w:color="auto" w:frame="1"/>
        </w:rPr>
        <w:t xml:space="preserve"> explores the relationship between culture and strategy, paying particular attention to which should take precedence, and which should be aligned to provide the most significant </w:t>
      </w:r>
      <w:r>
        <w:rPr>
          <w:color w:val="000000"/>
          <w:sz w:val="20"/>
          <w:szCs w:val="20"/>
          <w:bdr w:val="none" w:sz="0" w:space="0" w:color="auto" w:frame="1"/>
        </w:rPr>
        <w:lastRenderedPageBreak/>
        <w:t xml:space="preserve">benefit to the organization. He points out that culture has been touted as being the most critical element to an organization’s success and his purpose was to evaluate those claims. Building on prior strategic management research, </w:t>
      </w:r>
      <w:proofErr w:type="spellStart"/>
      <w:r>
        <w:rPr>
          <w:color w:val="000000"/>
          <w:sz w:val="20"/>
          <w:szCs w:val="20"/>
          <w:bdr w:val="none" w:sz="0" w:space="0" w:color="auto" w:frame="1"/>
        </w:rPr>
        <w:t>Kaul</w:t>
      </w:r>
      <w:proofErr w:type="spellEnd"/>
      <w:r>
        <w:rPr>
          <w:color w:val="000000"/>
          <w:sz w:val="20"/>
          <w:szCs w:val="20"/>
          <w:bdr w:val="none" w:sz="0" w:space="0" w:color="auto" w:frame="1"/>
        </w:rPr>
        <w:t xml:space="preserve"> concluded that, in most cases, strategy should be developed before culture and culture should then be aligned to the company’s strategy. Culture is important to strategy, however, as it can be changed or developed through strategy and it can support strategy implementation. Thus, there can be a synergistic interplay between an aligned culture and strategy that is beneficial to establishing a competitive advantage. </w:t>
      </w:r>
      <w:proofErr w:type="spellStart"/>
      <w:r>
        <w:rPr>
          <w:color w:val="000000"/>
          <w:sz w:val="20"/>
          <w:szCs w:val="20"/>
          <w:bdr w:val="none" w:sz="0" w:space="0" w:color="auto" w:frame="1"/>
        </w:rPr>
        <w:t>Kaul</w:t>
      </w:r>
      <w:proofErr w:type="spellEnd"/>
      <w:r>
        <w:rPr>
          <w:color w:val="000000"/>
          <w:sz w:val="20"/>
          <w:szCs w:val="20"/>
          <w:bdr w:val="none" w:sz="0" w:space="0" w:color="auto" w:frame="1"/>
        </w:rPr>
        <w:t xml:space="preserve"> also suggests that there are exceptions such as in making decisions within some governmental or nonprofit organizations and during crisis situations, where culture would trump strategy. Additionally, if the organization has a weak or bad strategy, culture will become the primary driving force.</w:t>
      </w:r>
    </w:p>
    <w:p w:rsidR="00102572" w:rsidRDefault="00102572" w:rsidP="00102572">
      <w:pPr>
        <w:pStyle w:val="NormalWeb"/>
        <w:shd w:val="clear" w:color="auto" w:fill="E6E6E6"/>
        <w:spacing w:before="0" w:beforeAutospacing="0" w:after="0" w:afterAutospacing="0" w:line="390" w:lineRule="atLeast"/>
        <w:ind w:left="720"/>
        <w:rPr>
          <w:rFonts w:ascii="Open Sans" w:hAnsi="Open Sans" w:cs="Open Sans"/>
          <w:color w:val="000000"/>
        </w:rPr>
      </w:pPr>
      <w:r>
        <w:rPr>
          <w:color w:val="000000"/>
          <w:sz w:val="20"/>
          <w:szCs w:val="20"/>
          <w:bdr w:val="none" w:sz="0" w:space="0" w:color="auto" w:frame="1"/>
        </w:rPr>
        <w:t xml:space="preserve">The article was published in an international peer-reviewed journal focused on increasing understanding of strategic management among practitioners in private and public organizations. This article was mentioned as a highly commended paper in the journal’s 2020 Literati Awards. </w:t>
      </w:r>
      <w:proofErr w:type="spellStart"/>
      <w:r>
        <w:rPr>
          <w:color w:val="000000"/>
          <w:sz w:val="20"/>
          <w:szCs w:val="20"/>
          <w:bdr w:val="none" w:sz="0" w:space="0" w:color="auto" w:frame="1"/>
        </w:rPr>
        <w:t>Amarjeev</w:t>
      </w:r>
      <w:proofErr w:type="spellEnd"/>
      <w:r>
        <w:rPr>
          <w:color w:val="000000"/>
          <w:sz w:val="20"/>
          <w:szCs w:val="20"/>
          <w:bdr w:val="none" w:sz="0" w:space="0" w:color="auto" w:frame="1"/>
        </w:rPr>
        <w:t xml:space="preserve"> </w:t>
      </w:r>
      <w:proofErr w:type="spellStart"/>
      <w:r>
        <w:rPr>
          <w:color w:val="000000"/>
          <w:sz w:val="20"/>
          <w:szCs w:val="20"/>
          <w:bdr w:val="none" w:sz="0" w:space="0" w:color="auto" w:frame="1"/>
        </w:rPr>
        <w:t>Kaul</w:t>
      </w:r>
      <w:proofErr w:type="spellEnd"/>
      <w:r>
        <w:rPr>
          <w:color w:val="000000"/>
          <w:sz w:val="20"/>
          <w:szCs w:val="20"/>
          <w:bdr w:val="none" w:sz="0" w:space="0" w:color="auto" w:frame="1"/>
        </w:rPr>
        <w:t xml:space="preserve"> is from the N. L. </w:t>
      </w:r>
      <w:proofErr w:type="spellStart"/>
      <w:r>
        <w:rPr>
          <w:color w:val="000000"/>
          <w:sz w:val="20"/>
          <w:szCs w:val="20"/>
          <w:bdr w:val="none" w:sz="0" w:space="0" w:color="auto" w:frame="1"/>
        </w:rPr>
        <w:t>Dalmia</w:t>
      </w:r>
      <w:proofErr w:type="spellEnd"/>
      <w:r>
        <w:rPr>
          <w:color w:val="000000"/>
          <w:sz w:val="20"/>
          <w:szCs w:val="20"/>
          <w:bdr w:val="none" w:sz="0" w:space="0" w:color="auto" w:frame="1"/>
        </w:rPr>
        <w:t xml:space="preserve"> Institute of Management Studies and Research in Mumbai, India, an AACSB accredited institution.</w:t>
      </w:r>
    </w:p>
    <w:p w:rsidR="00102572" w:rsidRDefault="00102572" w:rsidP="00102572">
      <w:pPr>
        <w:pStyle w:val="NormalWeb"/>
        <w:shd w:val="clear" w:color="auto" w:fill="E6E6E6"/>
        <w:spacing w:before="0" w:beforeAutospacing="0" w:after="0" w:afterAutospacing="0" w:line="390" w:lineRule="atLeast"/>
        <w:ind w:left="720"/>
        <w:rPr>
          <w:rFonts w:ascii="Open Sans" w:hAnsi="Open Sans" w:cs="Open Sans"/>
          <w:color w:val="000000"/>
        </w:rPr>
      </w:pPr>
      <w:r>
        <w:rPr>
          <w:color w:val="000000"/>
          <w:sz w:val="20"/>
          <w:szCs w:val="20"/>
          <w:bdr w:val="none" w:sz="0" w:space="0" w:color="auto" w:frame="1"/>
        </w:rPr>
        <w:t xml:space="preserve">The article fits within the discussion presented as it explores the relative importance of strategy to the popular concept of culture. The importance of culture in setting an organization’s strategic direction, according to </w:t>
      </w:r>
      <w:proofErr w:type="spellStart"/>
      <w:r>
        <w:rPr>
          <w:color w:val="000000"/>
          <w:sz w:val="20"/>
          <w:szCs w:val="20"/>
          <w:bdr w:val="none" w:sz="0" w:space="0" w:color="auto" w:frame="1"/>
        </w:rPr>
        <w:t>Kaul</w:t>
      </w:r>
      <w:proofErr w:type="spellEnd"/>
      <w:r>
        <w:rPr>
          <w:color w:val="000000"/>
          <w:sz w:val="20"/>
          <w:szCs w:val="20"/>
          <w:bdr w:val="none" w:sz="0" w:space="0" w:color="auto" w:frame="1"/>
        </w:rPr>
        <w:t>, has been overplayed. Thus, he reinforces the significance of strategy for setting organizational direction.</w:t>
      </w:r>
    </w:p>
    <w:p w:rsidR="00102572" w:rsidRDefault="00102572" w:rsidP="00102572">
      <w:pPr>
        <w:pStyle w:val="NormalWeb"/>
        <w:shd w:val="clear" w:color="auto" w:fill="E6E6E6"/>
        <w:spacing w:before="0" w:beforeAutospacing="0" w:after="0" w:afterAutospacing="0" w:line="390" w:lineRule="atLeast"/>
        <w:rPr>
          <w:rFonts w:ascii="Open Sans" w:hAnsi="Open Sans" w:cs="Open Sans"/>
          <w:color w:val="000000"/>
        </w:rPr>
      </w:pPr>
      <w:proofErr w:type="spellStart"/>
      <w:r>
        <w:rPr>
          <w:color w:val="000000"/>
          <w:sz w:val="20"/>
          <w:szCs w:val="20"/>
          <w:bdr w:val="none" w:sz="0" w:space="0" w:color="auto" w:frame="1"/>
        </w:rPr>
        <w:t>Khalifa</w:t>
      </w:r>
      <w:proofErr w:type="spellEnd"/>
      <w:r>
        <w:rPr>
          <w:color w:val="000000"/>
          <w:sz w:val="20"/>
          <w:szCs w:val="20"/>
          <w:bdr w:val="none" w:sz="0" w:space="0" w:color="auto" w:frame="1"/>
        </w:rPr>
        <w:t xml:space="preserve">, A. S. (2020a). Strategy, </w:t>
      </w:r>
      <w:proofErr w:type="spellStart"/>
      <w:r>
        <w:rPr>
          <w:color w:val="000000"/>
          <w:sz w:val="20"/>
          <w:szCs w:val="20"/>
          <w:bdr w:val="none" w:sz="0" w:space="0" w:color="auto" w:frame="1"/>
        </w:rPr>
        <w:t>nonstrategy</w:t>
      </w:r>
      <w:proofErr w:type="spellEnd"/>
      <w:r>
        <w:rPr>
          <w:color w:val="000000"/>
          <w:sz w:val="20"/>
          <w:szCs w:val="20"/>
          <w:bdr w:val="none" w:sz="0" w:space="0" w:color="auto" w:frame="1"/>
        </w:rPr>
        <w:t xml:space="preserve"> and no strategy. </w:t>
      </w:r>
      <w:r>
        <w:rPr>
          <w:rFonts w:ascii="Open Sans" w:hAnsi="Open Sans" w:cs="Open Sans"/>
          <w:i/>
          <w:iCs/>
          <w:color w:val="000000"/>
          <w:sz w:val="20"/>
          <w:szCs w:val="20"/>
          <w:bdr w:val="none" w:sz="0" w:space="0" w:color="auto" w:frame="1"/>
        </w:rPr>
        <w:t>Journal of Strategy and Management</w:t>
      </w:r>
      <w:r>
        <w:rPr>
          <w:color w:val="000000"/>
          <w:sz w:val="20"/>
          <w:szCs w:val="20"/>
          <w:bdr w:val="none" w:sz="0" w:space="0" w:color="auto" w:frame="1"/>
        </w:rPr>
        <w:t>, </w:t>
      </w:r>
      <w:r>
        <w:rPr>
          <w:rFonts w:ascii="Open Sans" w:hAnsi="Open Sans" w:cs="Open Sans"/>
          <w:i/>
          <w:iCs/>
          <w:color w:val="000000"/>
          <w:sz w:val="20"/>
          <w:szCs w:val="20"/>
          <w:bdr w:val="none" w:sz="0" w:space="0" w:color="auto" w:frame="1"/>
        </w:rPr>
        <w:t>14</w:t>
      </w:r>
      <w:r>
        <w:rPr>
          <w:color w:val="000000"/>
          <w:sz w:val="20"/>
          <w:szCs w:val="20"/>
          <w:bdr w:val="none" w:sz="0" w:space="0" w:color="auto" w:frame="1"/>
        </w:rPr>
        <w:t>(1), 35–49. http://dx.doi.org.ezproxy.liberty.edu/10.1108/JSMA-04-2020-0092</w:t>
      </w:r>
    </w:p>
    <w:p w:rsidR="00102572" w:rsidRDefault="00102572" w:rsidP="00102572">
      <w:pPr>
        <w:pStyle w:val="NormalWeb"/>
        <w:shd w:val="clear" w:color="auto" w:fill="E6E6E6"/>
        <w:spacing w:before="0" w:beforeAutospacing="0" w:after="0" w:afterAutospacing="0" w:line="390" w:lineRule="atLeast"/>
        <w:ind w:left="720"/>
        <w:rPr>
          <w:rFonts w:ascii="Open Sans" w:hAnsi="Open Sans" w:cs="Open Sans"/>
          <w:color w:val="000000"/>
        </w:rPr>
      </w:pPr>
      <w:r>
        <w:rPr>
          <w:color w:val="000000"/>
          <w:sz w:val="20"/>
          <w:szCs w:val="20"/>
          <w:bdr w:val="none" w:sz="0" w:space="0" w:color="auto" w:frame="1"/>
        </w:rPr>
        <w:t xml:space="preserve">Building off an article he published earlier in the year that defined strategy, </w:t>
      </w:r>
      <w:proofErr w:type="spellStart"/>
      <w:r>
        <w:rPr>
          <w:color w:val="000000"/>
          <w:sz w:val="20"/>
          <w:szCs w:val="20"/>
          <w:bdr w:val="none" w:sz="0" w:space="0" w:color="auto" w:frame="1"/>
        </w:rPr>
        <w:t>Khalifa</w:t>
      </w:r>
      <w:proofErr w:type="spellEnd"/>
      <w:r>
        <w:rPr>
          <w:color w:val="000000"/>
          <w:sz w:val="20"/>
          <w:szCs w:val="20"/>
          <w:bdr w:val="none" w:sz="0" w:space="0" w:color="auto" w:frame="1"/>
        </w:rPr>
        <w:t xml:space="preserve"> continues to explore the definitions of strategy and what is not strategy. He asserts that strategy is a challenging and complex concept that is used too ubiquitously. </w:t>
      </w:r>
      <w:proofErr w:type="spellStart"/>
      <w:r>
        <w:rPr>
          <w:color w:val="000000"/>
          <w:sz w:val="20"/>
          <w:szCs w:val="20"/>
          <w:bdr w:val="none" w:sz="0" w:space="0" w:color="auto" w:frame="1"/>
        </w:rPr>
        <w:t>Khalifa</w:t>
      </w:r>
      <w:proofErr w:type="spellEnd"/>
      <w:r>
        <w:rPr>
          <w:color w:val="000000"/>
          <w:sz w:val="20"/>
          <w:szCs w:val="20"/>
          <w:bdr w:val="none" w:sz="0" w:space="0" w:color="auto" w:frame="1"/>
        </w:rPr>
        <w:t xml:space="preserve"> explains that strategy must always contain an ends-ways-means connection. In addition to citing his previously published definition, he states that strategy should be a theory of winning and provides the following five key attributes of strategy: (a) aspirational, (b) power creating, (c) directional, (d) systemic, and (e) intentional. He argues that if an organization claims to have a strategy, but those five elements are not present in the claimed strategy, it is a </w:t>
      </w:r>
      <w:proofErr w:type="spellStart"/>
      <w:r>
        <w:rPr>
          <w:color w:val="000000"/>
          <w:sz w:val="20"/>
          <w:szCs w:val="20"/>
          <w:bdr w:val="none" w:sz="0" w:space="0" w:color="auto" w:frame="1"/>
        </w:rPr>
        <w:t>nonstrategy</w:t>
      </w:r>
      <w:proofErr w:type="spellEnd"/>
      <w:r>
        <w:rPr>
          <w:color w:val="000000"/>
          <w:sz w:val="20"/>
          <w:szCs w:val="20"/>
          <w:bdr w:val="none" w:sz="0" w:space="0" w:color="auto" w:frame="1"/>
        </w:rPr>
        <w:t>, rather than a bad strategy.</w:t>
      </w:r>
    </w:p>
    <w:p w:rsidR="00102572" w:rsidRDefault="00102572" w:rsidP="00102572">
      <w:pPr>
        <w:pStyle w:val="NormalWeb"/>
        <w:shd w:val="clear" w:color="auto" w:fill="E6E6E6"/>
        <w:spacing w:before="0" w:beforeAutospacing="0" w:after="0" w:afterAutospacing="0" w:line="390" w:lineRule="atLeast"/>
        <w:ind w:left="720"/>
        <w:rPr>
          <w:rFonts w:ascii="Open Sans" w:hAnsi="Open Sans" w:cs="Open Sans"/>
          <w:color w:val="000000"/>
        </w:rPr>
      </w:pPr>
      <w:proofErr w:type="spellStart"/>
      <w:r>
        <w:rPr>
          <w:color w:val="000000"/>
          <w:sz w:val="20"/>
          <w:szCs w:val="20"/>
          <w:bdr w:val="none" w:sz="0" w:space="0" w:color="auto" w:frame="1"/>
        </w:rPr>
        <w:t>Azaddin</w:t>
      </w:r>
      <w:proofErr w:type="spellEnd"/>
      <w:r>
        <w:rPr>
          <w:color w:val="000000"/>
          <w:sz w:val="20"/>
          <w:szCs w:val="20"/>
          <w:bdr w:val="none" w:sz="0" w:space="0" w:color="auto" w:frame="1"/>
        </w:rPr>
        <w:t xml:space="preserve"> S. </w:t>
      </w:r>
      <w:proofErr w:type="spellStart"/>
      <w:r>
        <w:rPr>
          <w:color w:val="000000"/>
          <w:sz w:val="20"/>
          <w:szCs w:val="20"/>
          <w:bdr w:val="none" w:sz="0" w:space="0" w:color="auto" w:frame="1"/>
        </w:rPr>
        <w:t>Khalifa</w:t>
      </w:r>
      <w:proofErr w:type="spellEnd"/>
      <w:r>
        <w:rPr>
          <w:color w:val="000000"/>
          <w:sz w:val="20"/>
          <w:szCs w:val="20"/>
          <w:bdr w:val="none" w:sz="0" w:space="0" w:color="auto" w:frame="1"/>
        </w:rPr>
        <w:t xml:space="preserve"> is an Associate Professor of Strategic Management at the University of Sharjah in Sharjah, United Arab Emirates, an AACSB accredited institution. He has over 20 years of teaching experience and actively publishes articles in academic journals. This article was published in the Journal of Strategy and Management, an international peer-reviewed journal that concentrates on improving the understanding of strategic management among practitioners in private and public organizations.</w:t>
      </w:r>
    </w:p>
    <w:p w:rsidR="00102572" w:rsidRDefault="00102572" w:rsidP="00102572">
      <w:pPr>
        <w:pStyle w:val="NormalWeb"/>
        <w:shd w:val="clear" w:color="auto" w:fill="E6E6E6"/>
        <w:spacing w:before="0" w:beforeAutospacing="0" w:after="0" w:afterAutospacing="0" w:line="390" w:lineRule="atLeast"/>
        <w:ind w:left="720"/>
        <w:rPr>
          <w:rFonts w:ascii="Open Sans" w:hAnsi="Open Sans" w:cs="Open Sans"/>
          <w:color w:val="000000"/>
        </w:rPr>
      </w:pPr>
      <w:r>
        <w:rPr>
          <w:color w:val="000000"/>
          <w:sz w:val="20"/>
          <w:szCs w:val="20"/>
          <w:bdr w:val="none" w:sz="0" w:space="0" w:color="auto" w:frame="1"/>
        </w:rPr>
        <w:lastRenderedPageBreak/>
        <w:t xml:space="preserve">This article ties in to the discussion by more clearly defining strategy and what </w:t>
      </w:r>
      <w:proofErr w:type="gramStart"/>
      <w:r>
        <w:rPr>
          <w:color w:val="000000"/>
          <w:sz w:val="20"/>
          <w:szCs w:val="20"/>
          <w:bdr w:val="none" w:sz="0" w:space="0" w:color="auto" w:frame="1"/>
        </w:rPr>
        <w:t>is not strategy</w:t>
      </w:r>
      <w:proofErr w:type="gramEnd"/>
      <w:r>
        <w:rPr>
          <w:color w:val="000000"/>
          <w:sz w:val="20"/>
          <w:szCs w:val="20"/>
          <w:bdr w:val="none" w:sz="0" w:space="0" w:color="auto" w:frame="1"/>
        </w:rPr>
        <w:t xml:space="preserve">. </w:t>
      </w:r>
      <w:proofErr w:type="spellStart"/>
      <w:r>
        <w:rPr>
          <w:color w:val="000000"/>
          <w:sz w:val="20"/>
          <w:szCs w:val="20"/>
          <w:bdr w:val="none" w:sz="0" w:space="0" w:color="auto" w:frame="1"/>
        </w:rPr>
        <w:t>Khalifa</w:t>
      </w:r>
      <w:proofErr w:type="spellEnd"/>
      <w:r>
        <w:rPr>
          <w:color w:val="000000"/>
          <w:sz w:val="20"/>
          <w:szCs w:val="20"/>
          <w:bdr w:val="none" w:sz="0" w:space="0" w:color="auto" w:frame="1"/>
        </w:rPr>
        <w:t xml:space="preserve"> pulls heavily from the </w:t>
      </w:r>
      <w:proofErr w:type="spellStart"/>
      <w:r>
        <w:rPr>
          <w:color w:val="000000"/>
          <w:sz w:val="20"/>
          <w:szCs w:val="20"/>
          <w:bdr w:val="none" w:sz="0" w:space="0" w:color="auto" w:frame="1"/>
        </w:rPr>
        <w:t>Rumelt</w:t>
      </w:r>
      <w:proofErr w:type="spellEnd"/>
      <w:r>
        <w:rPr>
          <w:color w:val="000000"/>
          <w:sz w:val="20"/>
          <w:szCs w:val="20"/>
          <w:bdr w:val="none" w:sz="0" w:space="0" w:color="auto" w:frame="1"/>
        </w:rPr>
        <w:t xml:space="preserve"> textbook in both agreement and disagreement, building upon </w:t>
      </w:r>
      <w:proofErr w:type="spellStart"/>
      <w:r>
        <w:rPr>
          <w:color w:val="000000"/>
          <w:sz w:val="20"/>
          <w:szCs w:val="20"/>
          <w:bdr w:val="none" w:sz="0" w:space="0" w:color="auto" w:frame="1"/>
        </w:rPr>
        <w:t>Rumelt’s</w:t>
      </w:r>
      <w:proofErr w:type="spellEnd"/>
      <w:r>
        <w:rPr>
          <w:color w:val="000000"/>
          <w:sz w:val="20"/>
          <w:szCs w:val="20"/>
          <w:bdr w:val="none" w:sz="0" w:space="0" w:color="auto" w:frame="1"/>
        </w:rPr>
        <w:t xml:space="preserve"> concept of bad strategy to generate the different categories of </w:t>
      </w:r>
      <w:proofErr w:type="spellStart"/>
      <w:r>
        <w:rPr>
          <w:color w:val="000000"/>
          <w:sz w:val="20"/>
          <w:szCs w:val="20"/>
          <w:bdr w:val="none" w:sz="0" w:space="0" w:color="auto" w:frame="1"/>
        </w:rPr>
        <w:t>nonstrategy</w:t>
      </w:r>
      <w:proofErr w:type="spellEnd"/>
      <w:r>
        <w:rPr>
          <w:color w:val="000000"/>
          <w:sz w:val="20"/>
          <w:szCs w:val="20"/>
          <w:bdr w:val="none" w:sz="0" w:space="0" w:color="auto" w:frame="1"/>
        </w:rPr>
        <w:t xml:space="preserve">, no strategy, and bad strategy. Additionally, </w:t>
      </w:r>
      <w:proofErr w:type="spellStart"/>
      <w:r>
        <w:rPr>
          <w:color w:val="000000"/>
          <w:sz w:val="20"/>
          <w:szCs w:val="20"/>
          <w:bdr w:val="none" w:sz="0" w:space="0" w:color="auto" w:frame="1"/>
        </w:rPr>
        <w:t>Khalifa</w:t>
      </w:r>
      <w:proofErr w:type="spellEnd"/>
      <w:r>
        <w:rPr>
          <w:color w:val="000000"/>
          <w:sz w:val="20"/>
          <w:szCs w:val="20"/>
          <w:bdr w:val="none" w:sz="0" w:space="0" w:color="auto" w:frame="1"/>
        </w:rPr>
        <w:t xml:space="preserve"> supports the assertion that strategy provides organizational direction through his definition and five key characteristics of strategy.</w:t>
      </w:r>
    </w:p>
    <w:p w:rsidR="00102572" w:rsidRPr="00102572" w:rsidRDefault="00102572" w:rsidP="00102572">
      <w:pPr>
        <w:rPr>
          <w:sz w:val="48"/>
          <w:szCs w:val="48"/>
        </w:rPr>
      </w:pPr>
      <w:r w:rsidRPr="00102572">
        <w:rPr>
          <w:sz w:val="48"/>
          <w:szCs w:val="48"/>
        </w:rPr>
        <w:t xml:space="preserve"> </w:t>
      </w:r>
    </w:p>
    <w:p w:rsidR="00102572" w:rsidRPr="00102572" w:rsidRDefault="00102572" w:rsidP="00102572">
      <w:pPr>
        <w:pBdr>
          <w:top w:val="single" w:sz="6" w:space="1" w:color="auto"/>
        </w:pBdr>
        <w:spacing w:after="0" w:line="240" w:lineRule="auto"/>
        <w:jc w:val="center"/>
        <w:rPr>
          <w:rFonts w:ascii="Arial" w:eastAsia="Times New Roman" w:hAnsi="Arial" w:cs="Arial"/>
          <w:vanish/>
          <w:sz w:val="16"/>
          <w:szCs w:val="16"/>
        </w:rPr>
      </w:pPr>
      <w:r w:rsidRPr="00102572">
        <w:rPr>
          <w:rFonts w:ascii="Arial" w:eastAsia="Times New Roman" w:hAnsi="Arial" w:cs="Arial"/>
          <w:vanish/>
          <w:sz w:val="16"/>
          <w:szCs w:val="16"/>
        </w:rPr>
        <w:t>Bottom of Form</w:t>
      </w:r>
    </w:p>
    <w:p w:rsidR="00102572" w:rsidRDefault="00102572"/>
    <w:sectPr w:rsidR="001025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572"/>
    <w:rsid w:val="00050EF7"/>
    <w:rsid w:val="00084624"/>
    <w:rsid w:val="000865AD"/>
    <w:rsid w:val="00102572"/>
    <w:rsid w:val="00121310"/>
    <w:rsid w:val="00181D97"/>
    <w:rsid w:val="00196AEB"/>
    <w:rsid w:val="001B625A"/>
    <w:rsid w:val="001E4A79"/>
    <w:rsid w:val="001E5584"/>
    <w:rsid w:val="00281780"/>
    <w:rsid w:val="002D6853"/>
    <w:rsid w:val="00321D54"/>
    <w:rsid w:val="00356CF8"/>
    <w:rsid w:val="00384F11"/>
    <w:rsid w:val="003E2719"/>
    <w:rsid w:val="003F0B71"/>
    <w:rsid w:val="004A20F5"/>
    <w:rsid w:val="005E6FEB"/>
    <w:rsid w:val="00602B7E"/>
    <w:rsid w:val="00604CE7"/>
    <w:rsid w:val="0062186D"/>
    <w:rsid w:val="007632DB"/>
    <w:rsid w:val="00787283"/>
    <w:rsid w:val="0080799D"/>
    <w:rsid w:val="00831BBD"/>
    <w:rsid w:val="008D16E9"/>
    <w:rsid w:val="008D4231"/>
    <w:rsid w:val="00904F65"/>
    <w:rsid w:val="00906CE2"/>
    <w:rsid w:val="00915C8B"/>
    <w:rsid w:val="00946FD8"/>
    <w:rsid w:val="00962925"/>
    <w:rsid w:val="009C4849"/>
    <w:rsid w:val="009C6DAF"/>
    <w:rsid w:val="009E32E6"/>
    <w:rsid w:val="00A447CA"/>
    <w:rsid w:val="00A71242"/>
    <w:rsid w:val="00AB7DA9"/>
    <w:rsid w:val="00AF70D3"/>
    <w:rsid w:val="00B30C12"/>
    <w:rsid w:val="00B6017C"/>
    <w:rsid w:val="00B80120"/>
    <w:rsid w:val="00BB3529"/>
    <w:rsid w:val="00BD6AAB"/>
    <w:rsid w:val="00CA6C29"/>
    <w:rsid w:val="00CC04A4"/>
    <w:rsid w:val="00D14D5D"/>
    <w:rsid w:val="00D62096"/>
    <w:rsid w:val="00D84F7A"/>
    <w:rsid w:val="00DC186F"/>
    <w:rsid w:val="00DC70BB"/>
    <w:rsid w:val="00E1060E"/>
    <w:rsid w:val="00E121F3"/>
    <w:rsid w:val="00E35225"/>
    <w:rsid w:val="00E669A3"/>
    <w:rsid w:val="00EB68EC"/>
    <w:rsid w:val="00F11B0C"/>
    <w:rsid w:val="00F73944"/>
    <w:rsid w:val="00F7487F"/>
    <w:rsid w:val="00FC3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CABFFC-285F-4B18-8DAA-95F22E0D7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bmsgage">
    <w:name w:val="db_msg_age"/>
    <w:basedOn w:val="DefaultParagraphFont"/>
    <w:rsid w:val="00102572"/>
  </w:style>
  <w:style w:type="character" w:customStyle="1" w:styleId="profilecardavatarthumb">
    <w:name w:val="profilecardavatarthumb"/>
    <w:basedOn w:val="DefaultParagraphFont"/>
    <w:rsid w:val="00102572"/>
  </w:style>
  <w:style w:type="character" w:styleId="Hyperlink">
    <w:name w:val="Hyperlink"/>
    <w:basedOn w:val="DefaultParagraphFont"/>
    <w:uiPriority w:val="99"/>
    <w:semiHidden/>
    <w:unhideWhenUsed/>
    <w:rsid w:val="00102572"/>
    <w:rPr>
      <w:color w:val="0000FF"/>
      <w:u w:val="single"/>
    </w:rPr>
  </w:style>
  <w:style w:type="paragraph" w:styleId="z-TopofForm">
    <w:name w:val="HTML Top of Form"/>
    <w:basedOn w:val="Normal"/>
    <w:next w:val="Normal"/>
    <w:link w:val="z-TopofFormChar"/>
    <w:hidden/>
    <w:uiPriority w:val="99"/>
    <w:semiHidden/>
    <w:unhideWhenUsed/>
    <w:rsid w:val="0010257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02572"/>
    <w:rPr>
      <w:rFonts w:ascii="Arial" w:eastAsia="Times New Roman" w:hAnsi="Arial" w:cs="Arial"/>
      <w:vanish/>
      <w:sz w:val="16"/>
      <w:szCs w:val="16"/>
    </w:rPr>
  </w:style>
  <w:style w:type="paragraph" w:styleId="NormalWeb">
    <w:name w:val="Normal (Web)"/>
    <w:basedOn w:val="Normal"/>
    <w:uiPriority w:val="99"/>
    <w:semiHidden/>
    <w:unhideWhenUsed/>
    <w:rsid w:val="00102572"/>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10257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02572"/>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7690159">
      <w:bodyDiv w:val="1"/>
      <w:marLeft w:val="0"/>
      <w:marRight w:val="0"/>
      <w:marTop w:val="0"/>
      <w:marBottom w:val="0"/>
      <w:divBdr>
        <w:top w:val="none" w:sz="0" w:space="0" w:color="auto"/>
        <w:left w:val="none" w:sz="0" w:space="0" w:color="auto"/>
        <w:bottom w:val="none" w:sz="0" w:space="0" w:color="auto"/>
        <w:right w:val="none" w:sz="0" w:space="0" w:color="auto"/>
      </w:divBdr>
      <w:divsChild>
        <w:div w:id="1151017869">
          <w:marLeft w:val="0"/>
          <w:marRight w:val="0"/>
          <w:marTop w:val="0"/>
          <w:marBottom w:val="0"/>
          <w:divBdr>
            <w:top w:val="none" w:sz="0" w:space="0" w:color="auto"/>
            <w:left w:val="none" w:sz="0" w:space="0" w:color="auto"/>
            <w:bottom w:val="none" w:sz="0" w:space="0" w:color="auto"/>
            <w:right w:val="none" w:sz="0" w:space="0" w:color="auto"/>
          </w:divBdr>
          <w:divsChild>
            <w:div w:id="1107505403">
              <w:marLeft w:val="0"/>
              <w:marRight w:val="0"/>
              <w:marTop w:val="0"/>
              <w:marBottom w:val="0"/>
              <w:divBdr>
                <w:top w:val="none" w:sz="0" w:space="0" w:color="auto"/>
                <w:left w:val="none" w:sz="0" w:space="0" w:color="auto"/>
                <w:bottom w:val="none" w:sz="0" w:space="0" w:color="auto"/>
                <w:right w:val="none" w:sz="0" w:space="0" w:color="auto"/>
              </w:divBdr>
              <w:divsChild>
                <w:div w:id="499126164">
                  <w:marLeft w:val="0"/>
                  <w:marRight w:val="0"/>
                  <w:marTop w:val="0"/>
                  <w:marBottom w:val="0"/>
                  <w:divBdr>
                    <w:top w:val="none" w:sz="0" w:space="0" w:color="auto"/>
                    <w:left w:val="none" w:sz="0" w:space="0" w:color="auto"/>
                    <w:bottom w:val="none" w:sz="0" w:space="0" w:color="auto"/>
                    <w:right w:val="none" w:sz="0" w:space="0" w:color="auto"/>
                  </w:divBdr>
                </w:div>
                <w:div w:id="750977616">
                  <w:marLeft w:val="0"/>
                  <w:marRight w:val="0"/>
                  <w:marTop w:val="0"/>
                  <w:marBottom w:val="90"/>
                  <w:divBdr>
                    <w:top w:val="none" w:sz="0" w:space="0" w:color="auto"/>
                    <w:left w:val="none" w:sz="0" w:space="0" w:color="auto"/>
                    <w:bottom w:val="none" w:sz="0" w:space="0" w:color="auto"/>
                    <w:right w:val="none" w:sz="0" w:space="0" w:color="auto"/>
                  </w:divBdr>
                </w:div>
              </w:divsChild>
            </w:div>
            <w:div w:id="1705977540">
              <w:marLeft w:val="0"/>
              <w:marRight w:val="0"/>
              <w:marTop w:val="0"/>
              <w:marBottom w:val="0"/>
              <w:divBdr>
                <w:top w:val="none" w:sz="0" w:space="0" w:color="auto"/>
                <w:left w:val="none" w:sz="0" w:space="0" w:color="auto"/>
                <w:bottom w:val="none" w:sz="0" w:space="0" w:color="auto"/>
                <w:right w:val="none" w:sz="0" w:space="0" w:color="auto"/>
              </w:divBdr>
              <w:divsChild>
                <w:div w:id="88618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306232">
          <w:marLeft w:val="0"/>
          <w:marRight w:val="0"/>
          <w:marTop w:val="0"/>
          <w:marBottom w:val="0"/>
          <w:divBdr>
            <w:top w:val="none" w:sz="0" w:space="0" w:color="auto"/>
            <w:left w:val="none" w:sz="0" w:space="0" w:color="auto"/>
            <w:bottom w:val="none" w:sz="0" w:space="0" w:color="auto"/>
            <w:right w:val="none" w:sz="0" w:space="0" w:color="auto"/>
          </w:divBdr>
          <w:divsChild>
            <w:div w:id="799809320">
              <w:marLeft w:val="0"/>
              <w:marRight w:val="0"/>
              <w:marTop w:val="0"/>
              <w:marBottom w:val="0"/>
              <w:divBdr>
                <w:top w:val="none" w:sz="0" w:space="0" w:color="auto"/>
                <w:left w:val="none" w:sz="0" w:space="0" w:color="auto"/>
                <w:bottom w:val="none" w:sz="0" w:space="0" w:color="auto"/>
                <w:right w:val="none" w:sz="0" w:space="0" w:color="auto"/>
              </w:divBdr>
              <w:divsChild>
                <w:div w:id="1399596553">
                  <w:marLeft w:val="0"/>
                  <w:marRight w:val="0"/>
                  <w:marTop w:val="0"/>
                  <w:marBottom w:val="0"/>
                  <w:divBdr>
                    <w:top w:val="none" w:sz="0" w:space="0" w:color="auto"/>
                    <w:left w:val="none" w:sz="0" w:space="0" w:color="auto"/>
                    <w:bottom w:val="none" w:sz="0" w:space="0" w:color="auto"/>
                    <w:right w:val="none" w:sz="0" w:space="0" w:color="auto"/>
                  </w:divBdr>
                  <w:divsChild>
                    <w:div w:id="154081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93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3155</Words>
  <Characters>17985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1</cp:revision>
  <dcterms:created xsi:type="dcterms:W3CDTF">2021-02-03T15:11:00Z</dcterms:created>
  <dcterms:modified xsi:type="dcterms:W3CDTF">2021-02-03T15:15:00Z</dcterms:modified>
</cp:coreProperties>
</file>